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694D95">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E6798E">
        <w:rPr>
          <w:rFonts w:ascii="Verdana" w:hAnsi="Verdana"/>
          <w:b/>
        </w:rPr>
        <w:t>Thermitreaktion (7.3</w:t>
      </w:r>
      <w:r w:rsidR="00E93F4D">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E6798E">
        <w:rPr>
          <w:rFonts w:ascii="Verdana" w:hAnsi="Verdana"/>
          <w:b/>
        </w:rPr>
        <w:t>314</w:t>
      </w:r>
    </w:p>
    <w:p w:rsidR="00397845" w:rsidRDefault="00397845">
      <w:pPr>
        <w:rPr>
          <w:rFonts w:ascii="Arial" w:hAnsi="Arial"/>
          <w:sz w:val="24"/>
        </w:rPr>
      </w:pPr>
    </w:p>
    <w:p w:rsidR="00624D80" w:rsidRDefault="00694D95">
      <w:pPr>
        <w:rPr>
          <w:rFonts w:ascii="Arial" w:hAnsi="Arial"/>
          <w:sz w:val="24"/>
        </w:rPr>
      </w:pPr>
      <w:r w:rsidRPr="00694D95">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E93F4D" w:rsidRDefault="004A0699" w:rsidP="0078017E">
                  <w:pPr>
                    <w:rPr>
                      <w:rFonts w:ascii="Arial" w:hAnsi="Arial"/>
                      <w:sz w:val="24"/>
                      <w:szCs w:val="24"/>
                      <w:lang w:val="de-CH"/>
                    </w:rPr>
                  </w:pPr>
                </w:p>
              </w:txbxContent>
            </v:textbox>
          </v:shape>
        </w:pict>
      </w:r>
      <w:r w:rsidRPr="00694D95">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E93F4D" w:rsidRDefault="00E93F4D" w:rsidP="0078017E">
                  <w:pPr>
                    <w:rPr>
                      <w:rFonts w:ascii="Arial" w:hAnsi="Arial"/>
                      <w:sz w:val="24"/>
                      <w:szCs w:val="24"/>
                      <w:lang w:val="de-CH"/>
                    </w:rPr>
                  </w:pPr>
                  <w:r>
                    <w:rPr>
                      <w:rFonts w:ascii="Arial" w:hAnsi="Arial"/>
                      <w:sz w:val="24"/>
                      <w:szCs w:val="24"/>
                      <w:lang w:val="de-CH"/>
                    </w:rPr>
                    <w:t>X</w:t>
                  </w:r>
                </w:p>
              </w:txbxContent>
            </v:textbox>
          </v:shape>
        </w:pict>
      </w:r>
      <w:r w:rsidRPr="00694D95">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E93F4D" w:rsidRDefault="00E93F4D" w:rsidP="0078017E">
                  <w:pPr>
                    <w:rPr>
                      <w:rFonts w:ascii="Arial" w:hAnsi="Arial"/>
                      <w:sz w:val="24"/>
                      <w:szCs w:val="24"/>
                      <w:lang w:val="de-CH"/>
                    </w:rPr>
                  </w:pPr>
                  <w:r>
                    <w:rPr>
                      <w:rFonts w:ascii="Arial" w:hAnsi="Arial"/>
                      <w:sz w:val="24"/>
                      <w:szCs w:val="24"/>
                      <w:lang w:val="de-CH"/>
                    </w:rPr>
                    <w:t>2</w:t>
                  </w:r>
                </w:p>
              </w:txbxContent>
            </v:textbox>
          </v:shape>
        </w:pict>
      </w:r>
    </w:p>
    <w:p w:rsidR="00D65C9C" w:rsidRPr="00E6798E" w:rsidRDefault="00D65C9C">
      <w:pPr>
        <w:rPr>
          <w:rFonts w:ascii="Verdana" w:hAnsi="Verdana"/>
          <w:sz w:val="16"/>
          <w:szCs w:val="16"/>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E6798E">
        <w:rPr>
          <w:rFonts w:ascii="Verdana" w:hAnsi="Verdana"/>
        </w:rPr>
        <w:t xml:space="preserve">         </w:t>
      </w:r>
      <w:r w:rsidR="00E6798E" w:rsidRPr="00E6798E">
        <w:rPr>
          <w:rFonts w:ascii="Verdana" w:hAnsi="Verdana"/>
          <w:sz w:val="16"/>
          <w:szCs w:val="16"/>
        </w:rPr>
        <w:t>(für Verwendung käuflicher</w:t>
      </w:r>
    </w:p>
    <w:p w:rsidR="00E6798E" w:rsidRPr="00E6798E" w:rsidRDefault="00E6798E">
      <w:pPr>
        <w:rPr>
          <w:rFonts w:ascii="Arial" w:hAnsi="Arial"/>
          <w:sz w:val="16"/>
          <w:szCs w:val="16"/>
        </w:rPr>
      </w:pPr>
      <w:r w:rsidRPr="00E6798E">
        <w:rPr>
          <w:rFonts w:ascii="Verdana" w:hAnsi="Verdana"/>
          <w:sz w:val="16"/>
          <w:szCs w:val="16"/>
        </w:rPr>
        <w:tab/>
      </w:r>
      <w:r w:rsidRPr="00E6798E">
        <w:rPr>
          <w:rFonts w:ascii="Verdana" w:hAnsi="Verdana"/>
          <w:sz w:val="16"/>
          <w:szCs w:val="16"/>
        </w:rPr>
        <w:tab/>
      </w:r>
      <w:r w:rsidRPr="00E6798E">
        <w:rPr>
          <w:rFonts w:ascii="Verdana" w:hAnsi="Verdana"/>
          <w:sz w:val="16"/>
          <w:szCs w:val="16"/>
        </w:rPr>
        <w:tab/>
      </w:r>
      <w:r w:rsidRPr="00E6798E">
        <w:rPr>
          <w:rFonts w:ascii="Verdana" w:hAnsi="Verdana"/>
          <w:sz w:val="16"/>
          <w:szCs w:val="16"/>
        </w:rPr>
        <w:tab/>
      </w:r>
      <w:r w:rsidRPr="00E6798E">
        <w:rPr>
          <w:rFonts w:ascii="Verdana" w:hAnsi="Verdana"/>
          <w:sz w:val="16"/>
          <w:szCs w:val="16"/>
        </w:rPr>
        <w:tab/>
      </w:r>
      <w:r w:rsidRPr="00E6798E">
        <w:rPr>
          <w:rFonts w:ascii="Verdana" w:hAnsi="Verdana"/>
          <w:sz w:val="16"/>
          <w:szCs w:val="16"/>
        </w:rPr>
        <w:tab/>
      </w:r>
      <w:r w:rsidRPr="00E6798E">
        <w:rPr>
          <w:rFonts w:ascii="Verdana" w:hAnsi="Verdana"/>
          <w:sz w:val="16"/>
          <w:szCs w:val="16"/>
        </w:rPr>
        <w:tab/>
      </w:r>
      <w:r w:rsidRPr="00E6798E">
        <w:rPr>
          <w:rFonts w:ascii="Verdana" w:hAnsi="Verdana"/>
          <w:sz w:val="16"/>
          <w:szCs w:val="16"/>
        </w:rPr>
        <w:tab/>
      </w:r>
      <w:r w:rsidRPr="00E6798E">
        <w:rPr>
          <w:rFonts w:ascii="Verdana" w:hAnsi="Verdana"/>
          <w:sz w:val="16"/>
          <w:szCs w:val="16"/>
        </w:rPr>
        <w:tab/>
      </w:r>
      <w:r w:rsidRPr="00E6798E">
        <w:rPr>
          <w:rFonts w:ascii="Verdana" w:hAnsi="Verdana"/>
          <w:sz w:val="16"/>
          <w:szCs w:val="16"/>
        </w:rPr>
        <w:tab/>
        <w:t xml:space="preserve">     Mischung mit Zündstäbchen)</w:t>
      </w: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809"/>
        <w:gridCol w:w="1418"/>
        <w:gridCol w:w="1559"/>
        <w:gridCol w:w="1701"/>
        <w:gridCol w:w="1134"/>
        <w:gridCol w:w="1843"/>
        <w:gridCol w:w="1218"/>
      </w:tblGrid>
      <w:tr w:rsidR="00A1039B" w:rsidTr="007F5E68">
        <w:trPr>
          <w:cnfStyle w:val="100000000000"/>
          <w:trHeight w:val="397"/>
        </w:trPr>
        <w:tc>
          <w:tcPr>
            <w:cnfStyle w:val="001000000000"/>
            <w:tcW w:w="1809"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8"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C32FF" w:rsidRPr="00AC60B9" w:rsidTr="007F5E68">
        <w:trPr>
          <w:cnfStyle w:val="000000100000"/>
          <w:trHeight w:val="794"/>
        </w:trPr>
        <w:tc>
          <w:tcPr>
            <w:cnfStyle w:val="001000000000"/>
            <w:tcW w:w="1809" w:type="dxa"/>
          </w:tcPr>
          <w:p w:rsidR="00E93F4D" w:rsidRDefault="00E6798E">
            <w:pPr>
              <w:rPr>
                <w:rFonts w:ascii="Verdana" w:hAnsi="Verdana"/>
                <w:b w:val="0"/>
              </w:rPr>
            </w:pPr>
            <w:r>
              <w:rPr>
                <w:rFonts w:ascii="Verdana" w:hAnsi="Verdana"/>
                <w:b w:val="0"/>
              </w:rPr>
              <w:t>Thermit</w:t>
            </w:r>
          </w:p>
          <w:p w:rsidR="00E6798E" w:rsidRPr="00E6798E" w:rsidRDefault="00E6798E">
            <w:pPr>
              <w:rPr>
                <w:rFonts w:ascii="Verdana" w:hAnsi="Verdana"/>
                <w:b w:val="0"/>
                <w:sz w:val="16"/>
                <w:szCs w:val="16"/>
              </w:rPr>
            </w:pPr>
            <w:r>
              <w:rPr>
                <w:rFonts w:ascii="Verdana" w:hAnsi="Verdana"/>
                <w:b w:val="0"/>
                <w:sz w:val="16"/>
                <w:szCs w:val="16"/>
              </w:rPr>
              <w:t>(käufliche Schweißmasse)</w:t>
            </w:r>
          </w:p>
        </w:tc>
        <w:tc>
          <w:tcPr>
            <w:tcW w:w="1418" w:type="dxa"/>
          </w:tcPr>
          <w:p w:rsidR="00DC32FF" w:rsidRPr="00E6798E" w:rsidRDefault="00E6798E">
            <w:pPr>
              <w:cnfStyle w:val="000000100000"/>
              <w:rPr>
                <w:rFonts w:ascii="Verdana" w:hAnsi="Verdana"/>
                <w:color w:val="538135" w:themeColor="accent6" w:themeShade="BF"/>
              </w:rPr>
            </w:pPr>
            <w:r w:rsidRPr="00E6798E">
              <w:rPr>
                <w:rFonts w:ascii="Verdana" w:hAnsi="Verdana"/>
                <w:color w:val="538135" w:themeColor="accent6" w:themeShade="BF"/>
              </w:rPr>
              <w:t>keines</w:t>
            </w:r>
          </w:p>
        </w:tc>
        <w:tc>
          <w:tcPr>
            <w:tcW w:w="1559" w:type="dxa"/>
          </w:tcPr>
          <w:p w:rsidR="00DC32FF" w:rsidRPr="00E6798E" w:rsidRDefault="00E6798E">
            <w:pPr>
              <w:cnfStyle w:val="000000100000"/>
              <w:rPr>
                <w:rFonts w:ascii="Verdana" w:hAnsi="Verdana"/>
                <w:color w:val="538135" w:themeColor="accent6" w:themeShade="BF"/>
              </w:rPr>
            </w:pPr>
            <w:r w:rsidRPr="00E6798E">
              <w:rPr>
                <w:rFonts w:ascii="Verdana" w:hAnsi="Verdana"/>
                <w:color w:val="538135" w:themeColor="accent6" w:themeShade="BF"/>
              </w:rPr>
              <w:t>Kein Pikt</w:t>
            </w:r>
            <w:r w:rsidRPr="00E6798E">
              <w:rPr>
                <w:rFonts w:ascii="Verdana" w:hAnsi="Verdana"/>
                <w:color w:val="538135" w:themeColor="accent6" w:themeShade="BF"/>
              </w:rPr>
              <w:t>o</w:t>
            </w:r>
            <w:r w:rsidRPr="00E6798E">
              <w:rPr>
                <w:rFonts w:ascii="Verdana" w:hAnsi="Verdana"/>
                <w:color w:val="538135" w:themeColor="accent6" w:themeShade="BF"/>
              </w:rPr>
              <w:t>gramm</w:t>
            </w:r>
          </w:p>
        </w:tc>
        <w:tc>
          <w:tcPr>
            <w:tcW w:w="1701" w:type="dxa"/>
          </w:tcPr>
          <w:p w:rsidR="00DC32FF" w:rsidRPr="00AC60B9" w:rsidRDefault="00E93F4D">
            <w:pPr>
              <w:cnfStyle w:val="000000100000"/>
              <w:rPr>
                <w:rFonts w:ascii="Verdana" w:hAnsi="Verdana"/>
                <w:sz w:val="16"/>
                <w:szCs w:val="16"/>
              </w:rPr>
            </w:pPr>
            <w:r>
              <w:rPr>
                <w:rFonts w:ascii="Verdana" w:hAnsi="Verdana"/>
                <w:sz w:val="16"/>
                <w:szCs w:val="16"/>
              </w:rPr>
              <w:t xml:space="preserve">H261 </w:t>
            </w:r>
          </w:p>
        </w:tc>
        <w:tc>
          <w:tcPr>
            <w:tcW w:w="1134" w:type="dxa"/>
          </w:tcPr>
          <w:p w:rsidR="00DC32FF" w:rsidRPr="00AC60B9" w:rsidRDefault="00E93F4D">
            <w:pPr>
              <w:cnfStyle w:val="000000100000"/>
              <w:rPr>
                <w:rFonts w:ascii="Verdana" w:hAnsi="Verdana"/>
                <w:sz w:val="16"/>
                <w:szCs w:val="16"/>
              </w:rPr>
            </w:pPr>
            <w:r>
              <w:rPr>
                <w:rFonts w:ascii="Verdana" w:hAnsi="Verdana"/>
                <w:sz w:val="16"/>
                <w:szCs w:val="16"/>
              </w:rPr>
              <w:t>---</w:t>
            </w:r>
          </w:p>
        </w:tc>
        <w:tc>
          <w:tcPr>
            <w:tcW w:w="1843" w:type="dxa"/>
          </w:tcPr>
          <w:p w:rsidR="00DC32FF" w:rsidRPr="00AC60B9" w:rsidRDefault="00E93F4D" w:rsidP="00A86F75">
            <w:pPr>
              <w:cnfStyle w:val="000000100000"/>
              <w:rPr>
                <w:rFonts w:ascii="Verdana" w:hAnsi="Verdana"/>
                <w:sz w:val="16"/>
                <w:szCs w:val="16"/>
              </w:rPr>
            </w:pPr>
            <w:r>
              <w:rPr>
                <w:rFonts w:ascii="Verdana" w:hAnsi="Verdana"/>
                <w:sz w:val="16"/>
                <w:szCs w:val="16"/>
              </w:rPr>
              <w:t>P</w:t>
            </w:r>
            <w:r w:rsidR="00A86F75">
              <w:rPr>
                <w:rFonts w:ascii="Verdana" w:hAnsi="Verdana"/>
                <w:sz w:val="16"/>
                <w:szCs w:val="16"/>
              </w:rPr>
              <w:t>2</w:t>
            </w:r>
            <w:r w:rsidR="00E6798E">
              <w:rPr>
                <w:rFonts w:ascii="Verdana" w:hAnsi="Verdana"/>
                <w:sz w:val="16"/>
                <w:szCs w:val="16"/>
              </w:rPr>
              <w:t xml:space="preserve">32 P280 </w:t>
            </w:r>
          </w:p>
        </w:tc>
        <w:tc>
          <w:tcPr>
            <w:tcW w:w="1218" w:type="dxa"/>
          </w:tcPr>
          <w:p w:rsidR="00DC32FF" w:rsidRPr="00AC60B9" w:rsidRDefault="00E6798E">
            <w:pPr>
              <w:cnfStyle w:val="000000100000"/>
              <w:rPr>
                <w:rFonts w:ascii="Verdana" w:hAnsi="Verdana"/>
                <w:sz w:val="16"/>
                <w:szCs w:val="16"/>
              </w:rPr>
            </w:pPr>
            <w:r>
              <w:rPr>
                <w:rFonts w:ascii="Verdana" w:hAnsi="Verdana"/>
                <w:sz w:val="16"/>
                <w:szCs w:val="16"/>
              </w:rPr>
              <w:t>---</w:t>
            </w:r>
          </w:p>
        </w:tc>
      </w:tr>
      <w:tr w:rsidR="00E6798E" w:rsidRPr="00AC60B9" w:rsidTr="007F5E68">
        <w:trPr>
          <w:trHeight w:val="794"/>
        </w:trPr>
        <w:tc>
          <w:tcPr>
            <w:cnfStyle w:val="001000000000"/>
            <w:tcW w:w="1809" w:type="dxa"/>
          </w:tcPr>
          <w:p w:rsidR="00E6798E" w:rsidRDefault="00E6798E">
            <w:pPr>
              <w:rPr>
                <w:rFonts w:ascii="Verdana" w:hAnsi="Verdana"/>
                <w:b w:val="0"/>
              </w:rPr>
            </w:pPr>
            <w:r>
              <w:rPr>
                <w:rFonts w:ascii="Verdana" w:hAnsi="Verdana"/>
                <w:b w:val="0"/>
              </w:rPr>
              <w:t>Bariumnitrat</w:t>
            </w:r>
          </w:p>
          <w:p w:rsidR="00E6798E" w:rsidRPr="00E6798E" w:rsidRDefault="00E6798E">
            <w:pPr>
              <w:rPr>
                <w:rFonts w:ascii="Verdana" w:hAnsi="Verdana"/>
                <w:b w:val="0"/>
                <w:sz w:val="16"/>
                <w:szCs w:val="16"/>
              </w:rPr>
            </w:pPr>
            <w:r>
              <w:rPr>
                <w:rFonts w:ascii="Verdana" w:hAnsi="Verdana"/>
                <w:b w:val="0"/>
                <w:sz w:val="16"/>
                <w:szCs w:val="16"/>
              </w:rPr>
              <w:t>(in den Anzün</w:t>
            </w:r>
            <w:r>
              <w:rPr>
                <w:rFonts w:ascii="Verdana" w:hAnsi="Verdana"/>
                <w:b w:val="0"/>
                <w:sz w:val="16"/>
                <w:szCs w:val="16"/>
              </w:rPr>
              <w:t>d</w:t>
            </w:r>
            <w:r>
              <w:rPr>
                <w:rFonts w:ascii="Verdana" w:hAnsi="Verdana"/>
                <w:b w:val="0"/>
                <w:sz w:val="16"/>
                <w:szCs w:val="16"/>
              </w:rPr>
              <w:t>stäbchen)</w:t>
            </w:r>
          </w:p>
        </w:tc>
        <w:tc>
          <w:tcPr>
            <w:tcW w:w="1418" w:type="dxa"/>
          </w:tcPr>
          <w:p w:rsidR="00E6798E" w:rsidRPr="00E6798E" w:rsidRDefault="00E6798E">
            <w:pPr>
              <w:cnfStyle w:val="000000000000"/>
              <w:rPr>
                <w:rFonts w:ascii="Verdana" w:hAnsi="Verdana"/>
                <w:color w:val="FF0000"/>
              </w:rPr>
            </w:pPr>
            <w:r>
              <w:rPr>
                <w:rFonts w:ascii="Verdana" w:hAnsi="Verdana"/>
                <w:color w:val="FF0000"/>
              </w:rPr>
              <w:t>Gefahr</w:t>
            </w:r>
          </w:p>
        </w:tc>
        <w:tc>
          <w:tcPr>
            <w:tcW w:w="1559" w:type="dxa"/>
          </w:tcPr>
          <w:p w:rsidR="00E6798E" w:rsidRPr="00E6798E" w:rsidRDefault="00E6798E">
            <w:pPr>
              <w:cnfStyle w:val="000000000000"/>
              <w:rPr>
                <w:rFonts w:ascii="Verdana" w:hAnsi="Verdana"/>
                <w:color w:val="538135" w:themeColor="accent6" w:themeShade="BF"/>
              </w:rPr>
            </w:pPr>
            <w:r>
              <w:rPr>
                <w:rFonts w:ascii="Arial" w:hAnsi="Arial"/>
                <w:noProof/>
                <w:lang w:val="de-CH"/>
              </w:rPr>
              <w:drawing>
                <wp:anchor distT="0" distB="0" distL="114300" distR="114300" simplePos="0" relativeHeight="251668480" behindDoc="0" locked="0" layoutInCell="1" allowOverlap="1">
                  <wp:simplePos x="0" y="0"/>
                  <wp:positionH relativeFrom="margin">
                    <wp:posOffset>34925</wp:posOffset>
                  </wp:positionH>
                  <wp:positionV relativeFrom="margin">
                    <wp:posOffset>75565</wp:posOffset>
                  </wp:positionV>
                  <wp:extent cx="326390" cy="330200"/>
                  <wp:effectExtent l="19050" t="0" r="0" b="0"/>
                  <wp:wrapNone/>
                  <wp:docPr id="74"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7" cstate="print"/>
                          <a:srcRect/>
                          <a:stretch>
                            <a:fillRect/>
                          </a:stretch>
                        </pic:blipFill>
                        <pic:spPr bwMode="auto">
                          <a:xfrm>
                            <a:off x="0" y="0"/>
                            <a:ext cx="326390" cy="330200"/>
                          </a:xfrm>
                          <a:prstGeom prst="rect">
                            <a:avLst/>
                          </a:prstGeom>
                          <a:noFill/>
                        </pic:spPr>
                      </pic:pic>
                    </a:graphicData>
                  </a:graphic>
                </wp:anchor>
              </w:drawing>
            </w:r>
            <w:r>
              <w:rPr>
                <w:rFonts w:ascii="Arial" w:hAnsi="Arial"/>
                <w:noProof/>
                <w:lang w:val="de-CH"/>
              </w:rPr>
              <w:drawing>
                <wp:anchor distT="0" distB="0" distL="114300" distR="114300" simplePos="0" relativeHeight="251667456" behindDoc="0" locked="0" layoutInCell="1" allowOverlap="1">
                  <wp:simplePos x="0" y="0"/>
                  <wp:positionH relativeFrom="margin">
                    <wp:posOffset>448945</wp:posOffset>
                  </wp:positionH>
                  <wp:positionV relativeFrom="margin">
                    <wp:posOffset>75565</wp:posOffset>
                  </wp:positionV>
                  <wp:extent cx="323850" cy="330200"/>
                  <wp:effectExtent l="19050" t="0" r="0" b="0"/>
                  <wp:wrapNone/>
                  <wp:docPr id="73"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3850" cy="330200"/>
                          </a:xfrm>
                          <a:prstGeom prst="rect">
                            <a:avLst/>
                          </a:prstGeom>
                          <a:noFill/>
                        </pic:spPr>
                      </pic:pic>
                    </a:graphicData>
                  </a:graphic>
                </wp:anchor>
              </w:drawing>
            </w:r>
          </w:p>
        </w:tc>
        <w:tc>
          <w:tcPr>
            <w:tcW w:w="1701" w:type="dxa"/>
          </w:tcPr>
          <w:p w:rsidR="00E6798E" w:rsidRDefault="00E6798E">
            <w:pPr>
              <w:cnfStyle w:val="000000000000"/>
              <w:rPr>
                <w:rFonts w:ascii="Verdana" w:hAnsi="Verdana"/>
                <w:sz w:val="16"/>
                <w:szCs w:val="16"/>
              </w:rPr>
            </w:pPr>
            <w:r>
              <w:rPr>
                <w:rFonts w:ascii="Verdana" w:hAnsi="Verdana"/>
                <w:sz w:val="16"/>
                <w:szCs w:val="16"/>
              </w:rPr>
              <w:t>H272 H302+332</w:t>
            </w:r>
          </w:p>
        </w:tc>
        <w:tc>
          <w:tcPr>
            <w:tcW w:w="1134" w:type="dxa"/>
          </w:tcPr>
          <w:p w:rsidR="00E6798E" w:rsidRDefault="00E6798E">
            <w:pPr>
              <w:cnfStyle w:val="000000000000"/>
              <w:rPr>
                <w:rFonts w:ascii="Verdana" w:hAnsi="Verdana"/>
                <w:sz w:val="16"/>
                <w:szCs w:val="16"/>
              </w:rPr>
            </w:pPr>
            <w:r>
              <w:rPr>
                <w:rFonts w:ascii="Verdana" w:hAnsi="Verdana"/>
                <w:sz w:val="16"/>
                <w:szCs w:val="16"/>
              </w:rPr>
              <w:t>---</w:t>
            </w:r>
          </w:p>
        </w:tc>
        <w:tc>
          <w:tcPr>
            <w:tcW w:w="1843" w:type="dxa"/>
          </w:tcPr>
          <w:p w:rsidR="00E6798E" w:rsidRDefault="00E6798E" w:rsidP="00E6798E">
            <w:pPr>
              <w:cnfStyle w:val="000000000000"/>
              <w:rPr>
                <w:rFonts w:ascii="Verdana" w:hAnsi="Verdana"/>
                <w:sz w:val="16"/>
                <w:szCs w:val="16"/>
              </w:rPr>
            </w:pPr>
            <w:r>
              <w:rPr>
                <w:rFonts w:ascii="Verdana" w:hAnsi="Verdana"/>
                <w:sz w:val="16"/>
                <w:szCs w:val="16"/>
              </w:rPr>
              <w:t>P210 P280 P302+352</w:t>
            </w:r>
          </w:p>
        </w:tc>
        <w:tc>
          <w:tcPr>
            <w:tcW w:w="1218" w:type="dxa"/>
          </w:tcPr>
          <w:p w:rsidR="00E6798E" w:rsidRDefault="00E6798E">
            <w:pPr>
              <w:cnfStyle w:val="0000000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Pr="00E93F4D" w:rsidRDefault="00E93F4D">
            <w:pPr>
              <w:rPr>
                <w:rFonts w:ascii="Verdana" w:hAnsi="Verdana"/>
                <w:b w:val="0"/>
                <w:sz w:val="16"/>
                <w:szCs w:val="16"/>
              </w:rPr>
            </w:pPr>
            <w:r>
              <w:rPr>
                <w:rFonts w:ascii="Verdana" w:hAnsi="Verdana"/>
                <w:b w:val="0"/>
              </w:rPr>
              <w:t xml:space="preserve">Aluminiumoxid </w:t>
            </w:r>
            <w:r>
              <w:rPr>
                <w:rFonts w:ascii="Verdana" w:hAnsi="Verdana"/>
                <w:b w:val="0"/>
                <w:sz w:val="16"/>
                <w:szCs w:val="16"/>
              </w:rPr>
              <w:t>(Reaktionsprodukt)</w:t>
            </w:r>
          </w:p>
        </w:tc>
      </w:tr>
      <w:tr w:rsidR="00E6798E" w:rsidTr="006133D7">
        <w:trPr>
          <w:cnfStyle w:val="000000100000"/>
          <w:trHeight w:val="454"/>
        </w:trPr>
        <w:tc>
          <w:tcPr>
            <w:cnfStyle w:val="001000000000"/>
            <w:tcW w:w="10606" w:type="dxa"/>
          </w:tcPr>
          <w:p w:rsidR="00E6798E" w:rsidRDefault="00E6798E">
            <w:pPr>
              <w:rPr>
                <w:rFonts w:ascii="Verdana" w:hAnsi="Verdana"/>
                <w:b w:val="0"/>
              </w:rPr>
            </w:pPr>
            <w:r>
              <w:rPr>
                <w:rFonts w:ascii="Verdana" w:hAnsi="Verdana"/>
                <w:b w:val="0"/>
              </w:rPr>
              <w:t xml:space="preserve">Eisen </w:t>
            </w:r>
            <w:r w:rsidRPr="00E6798E">
              <w:rPr>
                <w:rFonts w:ascii="Verdana" w:hAnsi="Verdana"/>
                <w:b w:val="0"/>
                <w:sz w:val="16"/>
                <w:szCs w:val="16"/>
              </w:rPr>
              <w:t>(Reaktionsprodukt)</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E6798E" w:rsidRDefault="00E6798E" w:rsidP="00E6798E">
      <w:pPr>
        <w:jc w:val="both"/>
        <w:rPr>
          <w:rFonts w:ascii="Verdana" w:hAnsi="Verdana"/>
          <w:i/>
        </w:rPr>
      </w:pPr>
      <w:r w:rsidRPr="00E6798E">
        <w:rPr>
          <w:rFonts w:ascii="Verdana" w:hAnsi="Verdana"/>
          <w:i/>
        </w:rPr>
        <w:t>Das Experiment wird auf einer Schamotteplatte, die auf feuerfesten Steinen steht, im Freien durchg</w:t>
      </w:r>
      <w:r w:rsidRPr="00E6798E">
        <w:rPr>
          <w:rFonts w:ascii="Verdana" w:hAnsi="Verdana"/>
          <w:i/>
        </w:rPr>
        <w:t>e</w:t>
      </w:r>
      <w:r w:rsidRPr="00E6798E">
        <w:rPr>
          <w:rFonts w:ascii="Verdana" w:hAnsi="Verdana"/>
          <w:i/>
        </w:rPr>
        <w:t>führt. Es ist unbedingt auf genügenden Abstand zu brennbaren Materialien zu achten, da glühende Tropfen herausspritzen können; genügend Abstand halten!</w:t>
      </w:r>
    </w:p>
    <w:p w:rsidR="00E6798E" w:rsidRPr="00E6798E" w:rsidRDefault="00E6798E" w:rsidP="00E6798E">
      <w:pPr>
        <w:jc w:val="both"/>
        <w:rPr>
          <w:rFonts w:ascii="Verdana" w:hAnsi="Verdana"/>
          <w:i/>
        </w:rPr>
      </w:pPr>
      <w:r>
        <w:rPr>
          <w:rFonts w:ascii="Verdana" w:hAnsi="Verdana"/>
          <w:i/>
        </w:rPr>
        <w:t>Ein großer Blumentopf wird ganz mit Quarzsand, eine kleine P</w:t>
      </w:r>
      <w:r w:rsidRPr="00E6798E">
        <w:rPr>
          <w:rFonts w:ascii="Verdana" w:hAnsi="Verdana"/>
          <w:i/>
        </w:rPr>
        <w:t>o</w:t>
      </w:r>
      <w:r>
        <w:rPr>
          <w:rFonts w:ascii="Verdana" w:hAnsi="Verdana"/>
          <w:i/>
        </w:rPr>
        <w:t>r</w:t>
      </w:r>
      <w:r w:rsidRPr="00E6798E">
        <w:rPr>
          <w:rFonts w:ascii="Verdana" w:hAnsi="Verdana"/>
          <w:i/>
        </w:rPr>
        <w:t>zellan</w:t>
      </w:r>
      <w:r>
        <w:rPr>
          <w:rFonts w:ascii="Verdana" w:hAnsi="Verdana"/>
          <w:i/>
        </w:rPr>
        <w:t>schale (Schmelztiegel)</w:t>
      </w:r>
      <w:r w:rsidRPr="00E6798E">
        <w:rPr>
          <w:rFonts w:ascii="Verdana" w:hAnsi="Verdana"/>
          <w:i/>
        </w:rPr>
        <w:t xml:space="preserve"> m</w:t>
      </w:r>
      <w:r>
        <w:rPr>
          <w:rFonts w:ascii="Verdana" w:hAnsi="Verdana"/>
          <w:i/>
        </w:rPr>
        <w:t xml:space="preserve">it der Thermitmischung gefüllt. </w:t>
      </w:r>
      <w:r w:rsidRPr="00E6798E">
        <w:rPr>
          <w:rFonts w:ascii="Verdana" w:hAnsi="Verdana"/>
          <w:i/>
        </w:rPr>
        <w:t>Das Porzellanschälchen</w:t>
      </w:r>
      <w:r>
        <w:rPr>
          <w:rFonts w:ascii="Verdana" w:hAnsi="Verdana"/>
          <w:i/>
        </w:rPr>
        <w:t xml:space="preserve"> bzw. den Schmelztiegel</w:t>
      </w:r>
      <w:r w:rsidRPr="00E6798E">
        <w:rPr>
          <w:rFonts w:ascii="Verdana" w:hAnsi="Verdana"/>
          <w:i/>
        </w:rPr>
        <w:t xml:space="preserve"> drückt man nun in den Quarzsand ganz hinein, jedoch so, dass eine trennende Sands</w:t>
      </w:r>
      <w:r>
        <w:rPr>
          <w:rFonts w:ascii="Verdana" w:hAnsi="Verdana"/>
          <w:i/>
        </w:rPr>
        <w:t>chich</w:t>
      </w:r>
      <w:r w:rsidR="00A86F75">
        <w:rPr>
          <w:rFonts w:ascii="Verdana" w:hAnsi="Verdana"/>
          <w:i/>
        </w:rPr>
        <w:t>t zum Boden</w:t>
      </w:r>
      <w:r w:rsidRPr="00E6798E">
        <w:rPr>
          <w:rFonts w:ascii="Verdana" w:hAnsi="Verdana"/>
          <w:i/>
        </w:rPr>
        <w:t xml:space="preserve"> bleibt. Das Zündstä</w:t>
      </w:r>
      <w:r w:rsidRPr="00E6798E">
        <w:rPr>
          <w:rFonts w:ascii="Verdana" w:hAnsi="Verdana"/>
          <w:i/>
        </w:rPr>
        <w:t>b</w:t>
      </w:r>
      <w:r w:rsidRPr="00E6798E">
        <w:rPr>
          <w:rFonts w:ascii="Verdana" w:hAnsi="Verdana"/>
          <w:i/>
        </w:rPr>
        <w:t xml:space="preserve">chen wird in die Thermitmischung gesteckt und mit dem Brenner </w:t>
      </w:r>
      <w:r w:rsidR="00A86F75">
        <w:rPr>
          <w:rFonts w:ascii="Verdana" w:hAnsi="Verdana"/>
          <w:i/>
        </w:rPr>
        <w:t xml:space="preserve">oder einer Lötlampe </w:t>
      </w:r>
      <w:r w:rsidRPr="00E6798E">
        <w:rPr>
          <w:rFonts w:ascii="Verdana" w:hAnsi="Verdana"/>
          <w:i/>
        </w:rPr>
        <w:t>entzünden. Nach dem Abklingen der Reaktion kann man die Beobachter direkt in das Schälchen hineinschauen lassen. Nach dem Abkühlen entfernt man die Reste des Porzellanschälchens und zerschlägt den Regulus mit dem Hammer, wobei sich Schlacke und Eisen trennen lassen.</w:t>
      </w:r>
    </w:p>
    <w:p w:rsidR="00624D80" w:rsidRPr="00A33993" w:rsidRDefault="00624D80">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E93F4D" w:rsidRDefault="00A86F75" w:rsidP="008C7699">
      <w:pPr>
        <w:rPr>
          <w:rFonts w:ascii="Verdana" w:hAnsi="Verdana"/>
          <w:i/>
        </w:rPr>
      </w:pPr>
      <w:r>
        <w:rPr>
          <w:rFonts w:ascii="Verdana" w:hAnsi="Verdana"/>
          <w:i/>
        </w:rPr>
        <w:t>Die käufliche Thermitmischung ist stabil und nur schwer zu zünden. Wenn sie feucht wird, besteht nach dem Zünden Explosionsgefahr.</w:t>
      </w:r>
    </w:p>
    <w:p w:rsidR="00A86F75" w:rsidRPr="00E93F4D" w:rsidRDefault="00A86F75" w:rsidP="008C7699">
      <w:pPr>
        <w:rPr>
          <w:rFonts w:ascii="Verdana" w:hAnsi="Verdana"/>
          <w:i/>
        </w:rPr>
      </w:pPr>
      <w:r>
        <w:rPr>
          <w:rFonts w:ascii="Verdana" w:hAnsi="Verdana"/>
          <w:i/>
        </w:rPr>
        <w:t>Nach der Zündung entstehen hohe Temperaturen (bis 2'400°C).</w:t>
      </w:r>
    </w:p>
    <w:p w:rsidR="008C7699" w:rsidRDefault="008C7699"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Default="00A86F75">
      <w:pPr>
        <w:rPr>
          <w:rFonts w:ascii="Verdana" w:hAnsi="Verdana"/>
          <w:i/>
        </w:rPr>
      </w:pPr>
      <w:r>
        <w:rPr>
          <w:rFonts w:ascii="Verdana" w:hAnsi="Verdana"/>
          <w:i/>
        </w:rPr>
        <w:t xml:space="preserve">Reste </w:t>
      </w:r>
      <w:r w:rsidRPr="006516E8">
        <w:rPr>
          <w:rFonts w:ascii="Verdana" w:hAnsi="Verdana"/>
          <w:i/>
        </w:rPr>
        <w:t>nach dem Erkalten</w:t>
      </w:r>
      <w:r>
        <w:rPr>
          <w:rFonts w:ascii="Verdana" w:hAnsi="Verdana"/>
          <w:i/>
        </w:rPr>
        <w:t xml:space="preserve"> in den Sammelbehälter "Anorganische Feststoffe" geben.</w:t>
      </w:r>
    </w:p>
    <w:p w:rsidR="00E93F4D" w:rsidRDefault="00E93F4D">
      <w:pPr>
        <w:rPr>
          <w:rFonts w:ascii="Verdana" w:hAnsi="Verdana"/>
          <w:b/>
        </w:rPr>
      </w:pPr>
    </w:p>
    <w:p w:rsidR="00E93F4D" w:rsidRDefault="00E93F4D">
      <w:pPr>
        <w:rPr>
          <w:rFonts w:ascii="Verdana" w:hAnsi="Verdana"/>
          <w:b/>
        </w:rPr>
      </w:pPr>
    </w:p>
    <w:p w:rsidR="00E93F4D" w:rsidRDefault="00E93F4D">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E93F4D">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E93F4D">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E93F4D">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86F75">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AC60B9">
            <w:pPr>
              <w:cnfStyle w:val="000000100000"/>
              <w:rPr>
                <w:rFonts w:ascii="Verdana" w:hAnsi="Verdana"/>
              </w:rPr>
            </w:pPr>
          </w:p>
        </w:tc>
        <w:tc>
          <w:tcPr>
            <w:tcW w:w="729" w:type="dxa"/>
          </w:tcPr>
          <w:p w:rsidR="00AC60B9" w:rsidRPr="00AC60B9" w:rsidRDefault="00E93F4D">
            <w:pPr>
              <w:cnfStyle w:val="000000100000"/>
              <w:rPr>
                <w:rFonts w:ascii="Verdana" w:hAnsi="Verdana"/>
              </w:rPr>
            </w:pPr>
            <w:r>
              <w:rPr>
                <w:rFonts w:ascii="Verdana" w:hAnsi="Verdana"/>
              </w:rPr>
              <w:t>X</w:t>
            </w: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A77C3A" w:rsidRDefault="00A77C3A">
      <w:pPr>
        <w:rPr>
          <w:rFonts w:ascii="Arial" w:hAnsi="Arial"/>
        </w:rPr>
      </w:pPr>
    </w:p>
    <w:p w:rsidR="00F068ED" w:rsidRPr="00A33993" w:rsidRDefault="00F068ED">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A77C3A">
      <w:pPr>
        <w:rPr>
          <w:rFonts w:ascii="Verdana" w:hAnsi="Verdana"/>
          <w:b/>
        </w:rPr>
      </w:pPr>
      <w:r>
        <w:rPr>
          <w:rFonts w:ascii="Verdana" w:hAnsi="Verdana"/>
          <w:b/>
          <w:noProof/>
          <w:lang w:val="de-CH"/>
        </w:rPr>
        <w:drawing>
          <wp:anchor distT="0" distB="0" distL="114300" distR="114300" simplePos="0" relativeHeight="251670528" behindDoc="0" locked="0" layoutInCell="1" allowOverlap="1">
            <wp:simplePos x="0" y="0"/>
            <wp:positionH relativeFrom="margin">
              <wp:posOffset>4149090</wp:posOffset>
            </wp:positionH>
            <wp:positionV relativeFrom="margin">
              <wp:posOffset>4027805</wp:posOffset>
            </wp:positionV>
            <wp:extent cx="402590" cy="396240"/>
            <wp:effectExtent l="19050" t="0" r="0" b="0"/>
            <wp:wrapNone/>
            <wp:docPr id="75"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402590" cy="396240"/>
                    </a:xfrm>
                    <a:prstGeom prst="rect">
                      <a:avLst/>
                    </a:prstGeom>
                    <a:noFill/>
                  </pic:spPr>
                </pic:pic>
              </a:graphicData>
            </a:graphic>
          </wp:anchor>
        </w:drawing>
      </w:r>
      <w:r>
        <w:rPr>
          <w:rFonts w:ascii="Verdana" w:hAnsi="Verdana"/>
          <w:b/>
          <w:noProof/>
          <w:lang w:val="de-CH"/>
        </w:rPr>
        <w:drawing>
          <wp:anchor distT="0" distB="0" distL="114300" distR="114300" simplePos="0" relativeHeight="251665408" behindDoc="0" locked="0" layoutInCell="1" allowOverlap="1">
            <wp:simplePos x="0" y="0"/>
            <wp:positionH relativeFrom="margin">
              <wp:posOffset>1695450</wp:posOffset>
            </wp:positionH>
            <wp:positionV relativeFrom="margin">
              <wp:posOffset>4027805</wp:posOffset>
            </wp:positionV>
            <wp:extent cx="402590" cy="396240"/>
            <wp:effectExtent l="19050" t="0" r="0" b="0"/>
            <wp:wrapNone/>
            <wp:docPr id="7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print"/>
                    <a:srcRect/>
                    <a:stretch>
                      <a:fillRect/>
                    </a:stretch>
                  </pic:blipFill>
                  <pic:spPr bwMode="auto">
                    <a:xfrm>
                      <a:off x="0" y="0"/>
                      <a:ext cx="402590" cy="39624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E93F4D" w:rsidRPr="00E93F4D" w:rsidRDefault="00A86F75">
      <w:pPr>
        <w:rPr>
          <w:rFonts w:ascii="Verdana" w:hAnsi="Verdana"/>
          <w:i/>
        </w:rPr>
      </w:pPr>
      <w:r>
        <w:rPr>
          <w:rFonts w:ascii="Verdana" w:hAnsi="Verdana"/>
          <w:i/>
        </w:rPr>
        <w:tab/>
      </w:r>
      <w:r>
        <w:rPr>
          <w:rFonts w:ascii="Verdana" w:hAnsi="Verdana"/>
          <w:i/>
        </w:rPr>
        <w:tab/>
      </w:r>
      <w:r>
        <w:rPr>
          <w:rFonts w:ascii="Verdana" w:hAnsi="Verdana"/>
          <w:i/>
        </w:rPr>
        <w:tab/>
      </w:r>
      <w:r w:rsidR="00E93F4D">
        <w:rPr>
          <w:rFonts w:ascii="Verdana" w:hAnsi="Verdana"/>
          <w:i/>
        </w:rPr>
        <w:t>Schutzbrille tragen</w:t>
      </w:r>
      <w:r>
        <w:rPr>
          <w:rFonts w:ascii="Verdana" w:hAnsi="Verdana"/>
          <w:i/>
        </w:rPr>
        <w:tab/>
      </w:r>
      <w:r>
        <w:rPr>
          <w:rFonts w:ascii="Verdana" w:hAnsi="Verdana"/>
          <w:i/>
        </w:rPr>
        <w:tab/>
        <w:t xml:space="preserve">      Schutzhandschuhe tragen</w:t>
      </w:r>
    </w:p>
    <w:p w:rsidR="00382839" w:rsidRDefault="00382839">
      <w:pPr>
        <w:rPr>
          <w:rFonts w:ascii="Verdana" w:hAnsi="Verdana"/>
          <w:b/>
        </w:rPr>
      </w:pPr>
    </w:p>
    <w:p w:rsidR="00A77C3A" w:rsidRDefault="00A77C3A">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E93F4D" w:rsidRPr="00E93F4D" w:rsidRDefault="00A86F75">
      <w:pPr>
        <w:rPr>
          <w:rFonts w:ascii="Verdana" w:hAnsi="Verdana"/>
          <w:i/>
        </w:rPr>
      </w:pPr>
      <w:r>
        <w:rPr>
          <w:rFonts w:ascii="Verdana" w:hAnsi="Verdana"/>
          <w:i/>
        </w:rPr>
        <w:t xml:space="preserve">Der käufliche Thermit ist sehr sicher im Umgang, wenn er trocken aufbewahrt wird. Die Durchführung in einem Schmelztiegel, der in einem Sandbad steckt, vermindert die Gefahren der Durchführung im Vergleich mit der Variante des </w:t>
      </w:r>
      <w:r w:rsidR="009E2D48">
        <w:rPr>
          <w:rFonts w:ascii="Verdana" w:hAnsi="Verdana"/>
          <w:i/>
        </w:rPr>
        <w:t>herausfließenden</w:t>
      </w:r>
      <w:r>
        <w:rPr>
          <w:rFonts w:ascii="Verdana" w:hAnsi="Verdana"/>
          <w:i/>
        </w:rPr>
        <w:t xml:space="preserve"> glühenden Eisens weiter. </w:t>
      </w:r>
    </w:p>
    <w:p w:rsidR="00624D80" w:rsidRDefault="00624D80">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77C3A" w:rsidRDefault="00A77C3A">
      <w:pPr>
        <w:rPr>
          <w:rFonts w:ascii="Arial" w:hAnsi="Arial"/>
        </w:rPr>
      </w:pPr>
    </w:p>
    <w:p w:rsidR="00A33993" w:rsidRDefault="00D12FDC">
      <w:pPr>
        <w:rPr>
          <w:rFonts w:ascii="Verdana" w:hAnsi="Verdana"/>
          <w:b/>
        </w:rPr>
      </w:pPr>
      <w:r>
        <w:rPr>
          <w:rFonts w:ascii="Verdana" w:hAnsi="Verdana"/>
          <w:b/>
        </w:rPr>
        <w:t>Anmerkungen</w:t>
      </w:r>
    </w:p>
    <w:p w:rsidR="00A86F75" w:rsidRPr="00A86F75" w:rsidRDefault="00A86F75" w:rsidP="00A86F75">
      <w:pPr>
        <w:rPr>
          <w:rFonts w:ascii="Verdana" w:hAnsi="Verdana"/>
          <w:sz w:val="16"/>
          <w:szCs w:val="16"/>
        </w:rPr>
      </w:pPr>
      <w:r w:rsidRPr="00A86F75">
        <w:rPr>
          <w:rFonts w:ascii="Verdana" w:hAnsi="Verdana"/>
          <w:sz w:val="16"/>
          <w:szCs w:val="16"/>
        </w:rPr>
        <w:t xml:space="preserve"> </w:t>
      </w:r>
    </w:p>
    <w:p w:rsidR="00D12FDC" w:rsidRDefault="00E93F4D"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E93F4D">
        <w:rPr>
          <w:rFonts w:ascii="Verdana" w:hAnsi="Verdana"/>
          <w:sz w:val="16"/>
          <w:szCs w:val="16"/>
        </w:rPr>
        <w:t>H261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In Berührung mit Wasser entstehen entzündbare Gase.</w:t>
      </w:r>
    </w:p>
    <w:p w:rsidR="00A86F75" w:rsidRDefault="00A86F75" w:rsidP="00D12FDC">
      <w:pPr>
        <w:pBdr>
          <w:between w:val="single" w:sz="4" w:space="1" w:color="auto"/>
          <w:bar w:val="single" w:sz="4" w:color="auto"/>
        </w:pBdr>
        <w:shd w:val="clear" w:color="auto" w:fill="F7CAAC" w:themeFill="accent2" w:themeFillTint="66"/>
        <w:rPr>
          <w:rFonts w:ascii="Verdana" w:hAnsi="Verdana"/>
          <w:sz w:val="16"/>
          <w:szCs w:val="16"/>
        </w:rPr>
      </w:pPr>
      <w:r w:rsidRPr="00A86F75">
        <w:rPr>
          <w:rFonts w:ascii="Verdana" w:hAnsi="Verdana"/>
          <w:sz w:val="16"/>
          <w:szCs w:val="16"/>
        </w:rPr>
        <w:t>H272</w:t>
      </w:r>
      <w:r w:rsidR="00A77C3A">
        <w:rPr>
          <w:rFonts w:ascii="Verdana" w:hAnsi="Verdana"/>
          <w:sz w:val="16"/>
          <w:szCs w:val="16"/>
        </w:rPr>
        <w:tab/>
      </w:r>
      <w:r w:rsidR="00A77C3A">
        <w:rPr>
          <w:rFonts w:ascii="Verdana" w:hAnsi="Verdana"/>
          <w:sz w:val="16"/>
          <w:szCs w:val="16"/>
        </w:rPr>
        <w:tab/>
      </w:r>
      <w:r w:rsidR="00A77C3A" w:rsidRPr="00693B6E">
        <w:rPr>
          <w:rFonts w:ascii="Verdana" w:hAnsi="Verdana"/>
          <w:sz w:val="16"/>
          <w:szCs w:val="16"/>
          <w:lang w:eastAsia="zh-CN"/>
        </w:rPr>
        <w:t>Kann Brand verstärken; Oxidationsmittel.</w:t>
      </w:r>
    </w:p>
    <w:p w:rsidR="00A86F75" w:rsidRPr="00E93F4D" w:rsidRDefault="00A86F75" w:rsidP="00D12FDC">
      <w:pPr>
        <w:pBdr>
          <w:between w:val="single" w:sz="4" w:space="1" w:color="auto"/>
          <w:bar w:val="single" w:sz="4" w:color="auto"/>
        </w:pBdr>
        <w:shd w:val="clear" w:color="auto" w:fill="F7CAAC" w:themeFill="accent2" w:themeFillTint="66"/>
        <w:rPr>
          <w:rFonts w:ascii="Verdana" w:hAnsi="Verdana"/>
          <w:sz w:val="16"/>
          <w:szCs w:val="16"/>
        </w:rPr>
      </w:pPr>
      <w:r w:rsidRPr="00A86F75">
        <w:rPr>
          <w:rFonts w:ascii="Verdana" w:hAnsi="Verdana"/>
          <w:sz w:val="16"/>
          <w:szCs w:val="16"/>
        </w:rPr>
        <w:t>H302+332</w:t>
      </w:r>
      <w:r w:rsidR="00A77C3A">
        <w:rPr>
          <w:rFonts w:ascii="Verdana" w:hAnsi="Verdana"/>
          <w:sz w:val="16"/>
          <w:szCs w:val="16"/>
        </w:rPr>
        <w:tab/>
      </w:r>
      <w:r w:rsidR="00A77C3A" w:rsidRPr="00693B6E">
        <w:rPr>
          <w:rFonts w:ascii="Verdana" w:hAnsi="Verdana"/>
          <w:sz w:val="16"/>
          <w:szCs w:val="16"/>
          <w:lang w:eastAsia="zh-CN"/>
        </w:rPr>
        <w:t>Gesundheitsschädlich bei Verschlucken oder Einatmen.</w:t>
      </w:r>
    </w:p>
    <w:p w:rsidR="00D12FDC" w:rsidRPr="00E93F4D" w:rsidRDefault="00D12FDC" w:rsidP="00D12FDC">
      <w:pPr>
        <w:pBdr>
          <w:between w:val="single" w:sz="4" w:space="1" w:color="auto"/>
          <w:bar w:val="single" w:sz="4" w:color="auto"/>
        </w:pBdr>
        <w:rPr>
          <w:rFonts w:ascii="Verdana" w:hAnsi="Verdana"/>
          <w:sz w:val="16"/>
          <w:szCs w:val="16"/>
        </w:rPr>
      </w:pPr>
    </w:p>
    <w:p w:rsidR="00D12FDC" w:rsidRDefault="00E93F4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rPr>
        <w:t>P210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Flammen sowie anderen Zündquellenarten fernhalten.</w:t>
      </w:r>
    </w:p>
    <w:p w:rsidR="00A86F75" w:rsidRDefault="00A86F75" w:rsidP="00D12FDC">
      <w:pPr>
        <w:pBdr>
          <w:between w:val="single" w:sz="4" w:space="1" w:color="auto"/>
          <w:bar w:val="single" w:sz="4" w:color="auto"/>
        </w:pBdr>
        <w:shd w:val="clear" w:color="auto" w:fill="BDD6EE" w:themeFill="accent1" w:themeFillTint="66"/>
        <w:rPr>
          <w:rFonts w:ascii="Verdana" w:hAnsi="Verdana"/>
          <w:sz w:val="16"/>
          <w:szCs w:val="16"/>
        </w:rPr>
      </w:pPr>
      <w:r w:rsidRPr="00A86F75">
        <w:rPr>
          <w:rFonts w:ascii="Verdana" w:hAnsi="Verdana"/>
          <w:sz w:val="16"/>
          <w:szCs w:val="16"/>
        </w:rPr>
        <w:t>P232</w:t>
      </w:r>
      <w:r w:rsidR="00A77C3A">
        <w:rPr>
          <w:rFonts w:ascii="Verdana" w:hAnsi="Verdana"/>
          <w:sz w:val="16"/>
          <w:szCs w:val="16"/>
        </w:rPr>
        <w:tab/>
      </w:r>
      <w:r w:rsidR="00A77C3A">
        <w:rPr>
          <w:rFonts w:ascii="Verdana" w:hAnsi="Verdana"/>
          <w:sz w:val="16"/>
          <w:szCs w:val="16"/>
        </w:rPr>
        <w:tab/>
      </w:r>
      <w:r w:rsidR="00A77C3A" w:rsidRPr="00693B6E">
        <w:rPr>
          <w:rFonts w:ascii="Verdana" w:hAnsi="Verdana"/>
          <w:sz w:val="16"/>
          <w:szCs w:val="16"/>
          <w:lang w:eastAsia="zh-CN"/>
        </w:rPr>
        <w:t>Vor Feuchtigkeit schützen.</w:t>
      </w:r>
    </w:p>
    <w:p w:rsidR="00A86F75" w:rsidRDefault="00A86F75" w:rsidP="00D12FDC">
      <w:pPr>
        <w:pBdr>
          <w:between w:val="single" w:sz="4" w:space="1" w:color="auto"/>
          <w:bar w:val="single" w:sz="4" w:color="auto"/>
        </w:pBdr>
        <w:shd w:val="clear" w:color="auto" w:fill="BDD6EE" w:themeFill="accent1" w:themeFillTint="66"/>
        <w:rPr>
          <w:rFonts w:ascii="Verdana" w:hAnsi="Verdana"/>
          <w:sz w:val="16"/>
          <w:szCs w:val="16"/>
        </w:rPr>
      </w:pPr>
      <w:r w:rsidRPr="00A86F75">
        <w:rPr>
          <w:rFonts w:ascii="Verdana" w:hAnsi="Verdana"/>
          <w:sz w:val="16"/>
          <w:szCs w:val="16"/>
        </w:rPr>
        <w:t>P280</w:t>
      </w:r>
      <w:r w:rsidR="00A77C3A">
        <w:rPr>
          <w:rFonts w:ascii="Verdana" w:hAnsi="Verdana"/>
          <w:sz w:val="16"/>
          <w:szCs w:val="16"/>
        </w:rPr>
        <w:tab/>
      </w:r>
      <w:r w:rsidR="00A77C3A">
        <w:rPr>
          <w:rFonts w:ascii="Verdana" w:hAnsi="Verdana"/>
          <w:sz w:val="16"/>
          <w:szCs w:val="16"/>
        </w:rPr>
        <w:tab/>
      </w:r>
      <w:r w:rsidR="00A77C3A" w:rsidRPr="00693B6E">
        <w:rPr>
          <w:rFonts w:ascii="Verdana" w:hAnsi="Verdana"/>
          <w:sz w:val="16"/>
          <w:szCs w:val="16"/>
          <w:lang w:eastAsia="zh-CN"/>
        </w:rPr>
        <w:t>Schutzhandschuhe/Schutzkleidung/Augenschutz/Gesichtsschutz tragen.</w:t>
      </w:r>
    </w:p>
    <w:p w:rsidR="00A77C3A" w:rsidRPr="00A86F75" w:rsidRDefault="00A77C3A" w:rsidP="00D12FDC">
      <w:pPr>
        <w:pBdr>
          <w:between w:val="single" w:sz="4" w:space="1" w:color="auto"/>
          <w:bar w:val="single" w:sz="4" w:color="auto"/>
        </w:pBdr>
        <w:shd w:val="clear" w:color="auto" w:fill="BDD6EE" w:themeFill="accent1" w:themeFillTint="66"/>
        <w:rPr>
          <w:rFonts w:ascii="Verdana" w:hAnsi="Verdana"/>
          <w:sz w:val="16"/>
          <w:szCs w:val="16"/>
        </w:rPr>
      </w:pPr>
      <w:r w:rsidRPr="00A86F75">
        <w:rPr>
          <w:rFonts w:ascii="Verdana" w:hAnsi="Verdana"/>
          <w:sz w:val="16"/>
          <w:szCs w:val="16"/>
        </w:rPr>
        <w:t>P302+352</w:t>
      </w:r>
      <w:r>
        <w:rPr>
          <w:rFonts w:ascii="Verdana" w:hAnsi="Verdana"/>
          <w:sz w:val="16"/>
          <w:szCs w:val="16"/>
        </w:rPr>
        <w:tab/>
      </w:r>
      <w:r>
        <w:rPr>
          <w:rFonts w:ascii="Verdana" w:hAnsi="Verdana"/>
          <w:sz w:val="16"/>
          <w:szCs w:val="16"/>
          <w:lang w:eastAsia="zh-CN"/>
        </w:rPr>
        <w:t>Bei Berührung mit der Haut</w:t>
      </w:r>
      <w:r w:rsidRPr="00693B6E">
        <w:rPr>
          <w:rFonts w:ascii="Verdana" w:hAnsi="Verdana"/>
          <w:sz w:val="16"/>
          <w:szCs w:val="16"/>
          <w:lang w:eastAsia="zh-CN"/>
        </w:rPr>
        <w:t>: Mit viel Wasser</w:t>
      </w:r>
      <w:r>
        <w:rPr>
          <w:rFonts w:ascii="Verdana" w:hAnsi="Verdana"/>
          <w:sz w:val="16"/>
          <w:szCs w:val="16"/>
          <w:lang w:eastAsia="zh-CN"/>
        </w:rPr>
        <w:t xml:space="preserve"> und Seife</w:t>
      </w:r>
      <w:r w:rsidRPr="00693B6E">
        <w:rPr>
          <w:rFonts w:ascii="Verdana" w:hAnsi="Verdana"/>
          <w:sz w:val="16"/>
          <w:szCs w:val="16"/>
          <w:lang w:eastAsia="zh-CN"/>
        </w:rPr>
        <w:t xml:space="preserve"> waschen.</w:t>
      </w:r>
    </w:p>
    <w:p w:rsidR="00624D80" w:rsidRPr="00E93F4D" w:rsidRDefault="00624D80">
      <w:pPr>
        <w:rPr>
          <w:rFonts w:ascii="Verdana" w:hAnsi="Verdana"/>
          <w:sz w:val="16"/>
          <w:szCs w:val="16"/>
        </w:rPr>
      </w:pPr>
    </w:p>
    <w:p w:rsidR="00A77C3A" w:rsidRDefault="00A77C3A">
      <w:pPr>
        <w:rPr>
          <w:rFonts w:ascii="Verdana" w:hAnsi="Verdana"/>
        </w:rPr>
      </w:pPr>
    </w:p>
    <w:p w:rsidR="00A77C3A" w:rsidRDefault="00A77C3A">
      <w:pPr>
        <w:rPr>
          <w:rFonts w:ascii="Verdana" w:hAnsi="Verdana"/>
        </w:rPr>
      </w:pPr>
    </w:p>
    <w:p w:rsidR="00A77C3A" w:rsidRDefault="00A77C3A">
      <w:pPr>
        <w:rPr>
          <w:rFonts w:ascii="Verdana" w:hAnsi="Verdana"/>
        </w:rPr>
      </w:pPr>
    </w:p>
    <w:p w:rsidR="00624D80" w:rsidRPr="00E93F4D" w:rsidRDefault="00382839">
      <w:pPr>
        <w:rPr>
          <w:rFonts w:ascii="Verdana" w:hAnsi="Verdana"/>
        </w:rPr>
      </w:pPr>
      <w:r w:rsidRPr="00E93F4D">
        <w:rPr>
          <w:rFonts w:ascii="Verdana" w:hAnsi="Verdana"/>
        </w:rPr>
        <w:t>Schule:</w:t>
      </w:r>
    </w:p>
    <w:p w:rsidR="00624D80" w:rsidRDefault="00624D80">
      <w:pPr>
        <w:rPr>
          <w:rFonts w:ascii="Arial" w:hAnsi="Arial"/>
        </w:rPr>
      </w:pPr>
    </w:p>
    <w:p w:rsidR="00015609" w:rsidRDefault="00015609">
      <w:pPr>
        <w:rPr>
          <w:rFonts w:ascii="Arial" w:hAnsi="Arial"/>
          <w:sz w:val="24"/>
        </w:rPr>
      </w:pPr>
    </w:p>
    <w:p w:rsidR="00E93F4D" w:rsidRDefault="00E93F4D">
      <w:pPr>
        <w:rPr>
          <w:rFonts w:ascii="Arial" w:hAnsi="Arial"/>
          <w:sz w:val="24"/>
        </w:rPr>
      </w:pPr>
    </w:p>
    <w:p w:rsidR="00015609" w:rsidRDefault="00015609">
      <w:pPr>
        <w:rPr>
          <w:rFonts w:ascii="Arial" w:hAnsi="Arial"/>
          <w:sz w:val="24"/>
        </w:rPr>
      </w:pPr>
    </w:p>
    <w:p w:rsidR="00A77C3A" w:rsidRDefault="00A77C3A">
      <w:pPr>
        <w:rPr>
          <w:rFonts w:ascii="Verdana" w:hAnsi="Verdana"/>
        </w:rPr>
      </w:pPr>
    </w:p>
    <w:p w:rsidR="00A77C3A" w:rsidRDefault="00A77C3A">
      <w:pPr>
        <w:rPr>
          <w:rFonts w:ascii="Verdana" w:hAnsi="Verdana"/>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E93F4D" w:rsidRDefault="00E93F4D">
      <w:pPr>
        <w:rPr>
          <w:rFonts w:ascii="Verdana" w:hAnsi="Verdana"/>
        </w:rPr>
      </w:pPr>
    </w:p>
    <w:p w:rsidR="00E93F4D" w:rsidRDefault="00E93F4D">
      <w:pPr>
        <w:rPr>
          <w:rFonts w:ascii="Verdana" w:hAnsi="Verdana"/>
        </w:rPr>
      </w:pPr>
    </w:p>
    <w:p w:rsidR="00015609" w:rsidRDefault="00015609">
      <w:pPr>
        <w:rPr>
          <w:rFonts w:ascii="Verdana" w:hAnsi="Verdana"/>
        </w:rPr>
      </w:pPr>
    </w:p>
    <w:p w:rsidR="00A77C3A" w:rsidRDefault="00A77C3A">
      <w:pPr>
        <w:rPr>
          <w:rFonts w:ascii="Verdana" w:hAnsi="Verdana"/>
        </w:rPr>
      </w:pPr>
    </w:p>
    <w:p w:rsidR="00A77C3A" w:rsidRDefault="00A77C3A">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82839" w:rsidRDefault="00382839"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A77C3A" w:rsidRDefault="00A77C3A"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E93F4D">
        <w:rPr>
          <w:rFonts w:ascii="Verdana" w:hAnsi="Verdana"/>
          <w:sz w:val="16"/>
          <w:szCs w:val="16"/>
        </w:rPr>
        <w:t>ule Zürich / Erstelldatum: 27</w:t>
      </w:r>
      <w:r w:rsidR="00410458">
        <w:rPr>
          <w:rFonts w:ascii="Verdana" w:hAnsi="Verdana"/>
          <w:sz w:val="16"/>
          <w:szCs w:val="16"/>
        </w:rPr>
        <w:t>.02.2016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1"/>
      <w:footerReference w:type="default" r:id="rId12"/>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93E" w:rsidRDefault="000E593E" w:rsidP="00015609">
      <w:r>
        <w:separator/>
      </w:r>
    </w:p>
  </w:endnote>
  <w:endnote w:type="continuationSeparator" w:id="0">
    <w:p w:rsidR="000E593E" w:rsidRDefault="000E593E"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93E" w:rsidRDefault="000E593E" w:rsidP="00015609">
      <w:r>
        <w:separator/>
      </w:r>
    </w:p>
  </w:footnote>
  <w:footnote w:type="continuationSeparator" w:id="0">
    <w:p w:rsidR="000E593E" w:rsidRDefault="000E593E"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694D95" w:rsidP="00015609">
    <w:pPr>
      <w:pStyle w:val="Kopfzeile"/>
      <w:tabs>
        <w:tab w:val="clear" w:pos="4536"/>
        <w:tab w:val="clear" w:pos="9072"/>
        <w:tab w:val="left" w:pos="8445"/>
      </w:tabs>
    </w:pPr>
    <w:r w:rsidRPr="00694D95">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694D95">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694D95">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4813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0E593E"/>
    <w:rsid w:val="001005CA"/>
    <w:rsid w:val="00112DC4"/>
    <w:rsid w:val="00133075"/>
    <w:rsid w:val="001334C3"/>
    <w:rsid w:val="00142B91"/>
    <w:rsid w:val="001653C7"/>
    <w:rsid w:val="00173ECE"/>
    <w:rsid w:val="001A6020"/>
    <w:rsid w:val="001C32D5"/>
    <w:rsid w:val="001E1C19"/>
    <w:rsid w:val="001E2122"/>
    <w:rsid w:val="001E53A7"/>
    <w:rsid w:val="001F0F23"/>
    <w:rsid w:val="00221ED2"/>
    <w:rsid w:val="002328B6"/>
    <w:rsid w:val="0024642C"/>
    <w:rsid w:val="00260D73"/>
    <w:rsid w:val="002E3A90"/>
    <w:rsid w:val="002E3B1E"/>
    <w:rsid w:val="00325503"/>
    <w:rsid w:val="003372CF"/>
    <w:rsid w:val="00350993"/>
    <w:rsid w:val="00363754"/>
    <w:rsid w:val="00366065"/>
    <w:rsid w:val="00382839"/>
    <w:rsid w:val="00394555"/>
    <w:rsid w:val="00397845"/>
    <w:rsid w:val="003A3231"/>
    <w:rsid w:val="003A3BDB"/>
    <w:rsid w:val="003C6E9E"/>
    <w:rsid w:val="003D1449"/>
    <w:rsid w:val="00410458"/>
    <w:rsid w:val="0041466B"/>
    <w:rsid w:val="004420D1"/>
    <w:rsid w:val="00443BF4"/>
    <w:rsid w:val="004514FE"/>
    <w:rsid w:val="00456B7F"/>
    <w:rsid w:val="0046211C"/>
    <w:rsid w:val="00467D3E"/>
    <w:rsid w:val="00491344"/>
    <w:rsid w:val="004A0699"/>
    <w:rsid w:val="004B4FF4"/>
    <w:rsid w:val="00523D26"/>
    <w:rsid w:val="005643F9"/>
    <w:rsid w:val="005759A4"/>
    <w:rsid w:val="00595105"/>
    <w:rsid w:val="005A207F"/>
    <w:rsid w:val="005A4729"/>
    <w:rsid w:val="005D54B6"/>
    <w:rsid w:val="005E2480"/>
    <w:rsid w:val="006012A7"/>
    <w:rsid w:val="006133D7"/>
    <w:rsid w:val="006235DF"/>
    <w:rsid w:val="00624D80"/>
    <w:rsid w:val="006263D1"/>
    <w:rsid w:val="006516E8"/>
    <w:rsid w:val="00655BBC"/>
    <w:rsid w:val="00694D95"/>
    <w:rsid w:val="006B4000"/>
    <w:rsid w:val="006D713D"/>
    <w:rsid w:val="006E514C"/>
    <w:rsid w:val="006F371F"/>
    <w:rsid w:val="006F5584"/>
    <w:rsid w:val="0070507A"/>
    <w:rsid w:val="007073C1"/>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253B0"/>
    <w:rsid w:val="009311C8"/>
    <w:rsid w:val="009550B8"/>
    <w:rsid w:val="00962356"/>
    <w:rsid w:val="00964841"/>
    <w:rsid w:val="0097293F"/>
    <w:rsid w:val="00993BD6"/>
    <w:rsid w:val="009B4CC7"/>
    <w:rsid w:val="009C7CC5"/>
    <w:rsid w:val="009D57AA"/>
    <w:rsid w:val="009D5943"/>
    <w:rsid w:val="009D6827"/>
    <w:rsid w:val="009E2D48"/>
    <w:rsid w:val="009F52EC"/>
    <w:rsid w:val="00A0420A"/>
    <w:rsid w:val="00A1039B"/>
    <w:rsid w:val="00A1642E"/>
    <w:rsid w:val="00A33993"/>
    <w:rsid w:val="00A451E5"/>
    <w:rsid w:val="00A505D4"/>
    <w:rsid w:val="00A6055C"/>
    <w:rsid w:val="00A70890"/>
    <w:rsid w:val="00A77634"/>
    <w:rsid w:val="00A77C3A"/>
    <w:rsid w:val="00A8046D"/>
    <w:rsid w:val="00A86F75"/>
    <w:rsid w:val="00A91936"/>
    <w:rsid w:val="00AC37A7"/>
    <w:rsid w:val="00AC60B9"/>
    <w:rsid w:val="00AE4E6E"/>
    <w:rsid w:val="00B03BAF"/>
    <w:rsid w:val="00B03E55"/>
    <w:rsid w:val="00B11E40"/>
    <w:rsid w:val="00B150DF"/>
    <w:rsid w:val="00B308B5"/>
    <w:rsid w:val="00B5181E"/>
    <w:rsid w:val="00B61890"/>
    <w:rsid w:val="00B65545"/>
    <w:rsid w:val="00B83007"/>
    <w:rsid w:val="00C037DB"/>
    <w:rsid w:val="00C676B2"/>
    <w:rsid w:val="00C93395"/>
    <w:rsid w:val="00CB37B4"/>
    <w:rsid w:val="00CC2C00"/>
    <w:rsid w:val="00CC5350"/>
    <w:rsid w:val="00CF4E87"/>
    <w:rsid w:val="00D12FDC"/>
    <w:rsid w:val="00D20C5C"/>
    <w:rsid w:val="00D235EF"/>
    <w:rsid w:val="00D27A61"/>
    <w:rsid w:val="00D566D8"/>
    <w:rsid w:val="00D65C9C"/>
    <w:rsid w:val="00D8525E"/>
    <w:rsid w:val="00DA05BF"/>
    <w:rsid w:val="00DA0844"/>
    <w:rsid w:val="00DC32FF"/>
    <w:rsid w:val="00DD3B60"/>
    <w:rsid w:val="00DE7AF4"/>
    <w:rsid w:val="00E036A9"/>
    <w:rsid w:val="00E22334"/>
    <w:rsid w:val="00E23B7A"/>
    <w:rsid w:val="00E541C2"/>
    <w:rsid w:val="00E6798E"/>
    <w:rsid w:val="00E93F4D"/>
    <w:rsid w:val="00EA5663"/>
    <w:rsid w:val="00EA79C0"/>
    <w:rsid w:val="00EC11B3"/>
    <w:rsid w:val="00F068ED"/>
    <w:rsid w:val="00F122A5"/>
    <w:rsid w:val="00F25640"/>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B2099-47B6-42B1-89C9-C3918516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4</cp:revision>
  <cp:lastPrinted>2013-12-03T11:51:00Z</cp:lastPrinted>
  <dcterms:created xsi:type="dcterms:W3CDTF">2016-02-27T13:26:00Z</dcterms:created>
  <dcterms:modified xsi:type="dcterms:W3CDTF">2016-03-11T09:27:00Z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