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143E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527200">
        <w:rPr>
          <w:rFonts w:ascii="Verdana" w:hAnsi="Verdana"/>
          <w:b/>
        </w:rPr>
        <w:t>Boraxperlen (7.1)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527200">
        <w:rPr>
          <w:rFonts w:ascii="Verdana" w:hAnsi="Verdana"/>
          <w:b/>
        </w:rPr>
        <w:t>312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143E1">
      <w:pPr>
        <w:rPr>
          <w:rFonts w:ascii="Arial" w:hAnsi="Arial"/>
          <w:sz w:val="24"/>
        </w:rPr>
      </w:pPr>
      <w:r w:rsidRPr="00D143E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143E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527200" w:rsidRDefault="0052720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143E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527200" w:rsidRDefault="0052720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2126"/>
        <w:gridCol w:w="935"/>
      </w:tblGrid>
      <w:tr w:rsidR="00A1039B" w:rsidTr="00527200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527200" w:rsidTr="0052720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52720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Natriumborat-</w:t>
            </w:r>
          </w:p>
          <w:p w:rsidR="00527200" w:rsidRDefault="0052720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Decahydrat</w:t>
            </w:r>
          </w:p>
          <w:p w:rsidR="00527200" w:rsidRPr="00527200" w:rsidRDefault="0052720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(Borax)</w:t>
            </w:r>
          </w:p>
        </w:tc>
        <w:tc>
          <w:tcPr>
            <w:tcW w:w="1276" w:type="dxa"/>
          </w:tcPr>
          <w:p w:rsidR="00DC32FF" w:rsidRPr="00527200" w:rsidRDefault="0052720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527200" w:rsidRDefault="00527200">
            <w:pPr>
              <w:cnfStyle w:val="000000100000"/>
              <w:rPr>
                <w:rFonts w:ascii="Verdana" w:hAnsi="Verdana"/>
              </w:rPr>
            </w:pPr>
            <w:r w:rsidRPr="0052720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220345</wp:posOffset>
                  </wp:positionH>
                  <wp:positionV relativeFrom="margin">
                    <wp:posOffset>79375</wp:posOffset>
                  </wp:positionV>
                  <wp:extent cx="323850" cy="330200"/>
                  <wp:effectExtent l="19050" t="0" r="0" b="0"/>
                  <wp:wrapNone/>
                  <wp:docPr id="6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527200" w:rsidRDefault="0052720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H360FD</w:t>
            </w:r>
          </w:p>
        </w:tc>
        <w:tc>
          <w:tcPr>
            <w:tcW w:w="1134" w:type="dxa"/>
          </w:tcPr>
          <w:p w:rsidR="00DC32FF" w:rsidRPr="00527200" w:rsidRDefault="0052720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C32FF" w:rsidRPr="00527200" w:rsidRDefault="0052720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P308+313</w:t>
            </w:r>
          </w:p>
        </w:tc>
        <w:tc>
          <w:tcPr>
            <w:tcW w:w="935" w:type="dxa"/>
          </w:tcPr>
          <w:p w:rsidR="00DC32FF" w:rsidRPr="00527200" w:rsidRDefault="0052720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527200" w:rsidTr="00527200">
        <w:trPr>
          <w:trHeight w:val="794"/>
        </w:trPr>
        <w:tc>
          <w:tcPr>
            <w:cnfStyle w:val="001000000000"/>
            <w:tcW w:w="2093" w:type="dxa"/>
          </w:tcPr>
          <w:p w:rsidR="00DC32FF" w:rsidRDefault="0052720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Eisen(II)-sulfat-</w:t>
            </w:r>
          </w:p>
          <w:p w:rsidR="00527200" w:rsidRPr="00527200" w:rsidRDefault="0052720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Heptahydrat</w:t>
            </w:r>
          </w:p>
        </w:tc>
        <w:tc>
          <w:tcPr>
            <w:tcW w:w="1276" w:type="dxa"/>
          </w:tcPr>
          <w:p w:rsidR="00DC32FF" w:rsidRPr="00527200" w:rsidRDefault="00527200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527200" w:rsidRDefault="00527200">
            <w:pPr>
              <w:cnfStyle w:val="000000000000"/>
              <w:rPr>
                <w:rFonts w:ascii="Verdana" w:hAnsi="Verdana"/>
              </w:rPr>
            </w:pPr>
            <w:r w:rsidRPr="0052720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75565</wp:posOffset>
                  </wp:positionV>
                  <wp:extent cx="323850" cy="330200"/>
                  <wp:effectExtent l="19050" t="0" r="0" b="0"/>
                  <wp:wrapNone/>
                  <wp:docPr id="6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527200" w:rsidRDefault="0052720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</w:t>
            </w:r>
          </w:p>
        </w:tc>
        <w:tc>
          <w:tcPr>
            <w:tcW w:w="1134" w:type="dxa"/>
          </w:tcPr>
          <w:p w:rsidR="00DC32FF" w:rsidRPr="00527200" w:rsidRDefault="0052720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C32FF" w:rsidRPr="00527200" w:rsidRDefault="0052720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 P305+351+338</w:t>
            </w:r>
          </w:p>
        </w:tc>
        <w:tc>
          <w:tcPr>
            <w:tcW w:w="935" w:type="dxa"/>
          </w:tcPr>
          <w:p w:rsidR="00DC32FF" w:rsidRPr="00527200" w:rsidRDefault="0052720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27200" w:rsidRPr="000F5CEC" w:rsidTr="00527200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527200" w:rsidRDefault="00527200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Cobalt(II)-chlorid-</w:t>
            </w:r>
          </w:p>
          <w:p w:rsidR="00527200" w:rsidRDefault="00527200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Hexahydrat</w:t>
            </w:r>
          </w:p>
        </w:tc>
        <w:tc>
          <w:tcPr>
            <w:tcW w:w="1276" w:type="dxa"/>
          </w:tcPr>
          <w:p w:rsidR="00527200" w:rsidRPr="009D50A3" w:rsidRDefault="00527200" w:rsidP="0001213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27200" w:rsidRPr="003F346F" w:rsidRDefault="00527200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269875</wp:posOffset>
                  </wp:positionH>
                  <wp:positionV relativeFrom="margin">
                    <wp:posOffset>46355</wp:posOffset>
                  </wp:positionV>
                  <wp:extent cx="312420" cy="325120"/>
                  <wp:effectExtent l="19050" t="0" r="0" b="0"/>
                  <wp:wrapNone/>
                  <wp:docPr id="6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46355</wp:posOffset>
                  </wp:positionV>
                  <wp:extent cx="323215" cy="325120"/>
                  <wp:effectExtent l="19050" t="0" r="635" b="0"/>
                  <wp:wrapNone/>
                  <wp:docPr id="6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47625</wp:posOffset>
                  </wp:positionV>
                  <wp:extent cx="320040" cy="325755"/>
                  <wp:effectExtent l="19050" t="0" r="3810" b="0"/>
                  <wp:wrapNone/>
                  <wp:docPr id="6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27200" w:rsidRDefault="00527200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H350i H341 H360F H302 H334 H317 H410</w:t>
            </w:r>
          </w:p>
        </w:tc>
        <w:tc>
          <w:tcPr>
            <w:tcW w:w="1134" w:type="dxa"/>
          </w:tcPr>
          <w:p w:rsidR="00527200" w:rsidRDefault="00527200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527200" w:rsidRDefault="00527200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P201 P273 P280 P302+252 P304+340 P308+313 </w:t>
            </w:r>
          </w:p>
        </w:tc>
        <w:tc>
          <w:tcPr>
            <w:tcW w:w="935" w:type="dxa"/>
          </w:tcPr>
          <w:p w:rsidR="00527200" w:rsidRDefault="00527200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  <w:p w:rsidR="00527200" w:rsidRPr="000F5CEC" w:rsidRDefault="00527200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52720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527200" w:rsidRPr="00527200" w:rsidRDefault="00527200" w:rsidP="00527200">
      <w:pPr>
        <w:jc w:val="both"/>
        <w:rPr>
          <w:rFonts w:ascii="Verdana" w:hAnsi="Verdana"/>
          <w:i/>
        </w:rPr>
      </w:pPr>
      <w:r w:rsidRPr="00527200">
        <w:rPr>
          <w:rFonts w:ascii="Verdana" w:hAnsi="Verdana"/>
          <w:i/>
        </w:rPr>
        <w:t>Auf zwei Uhrgläser gibt man einige Körnchen der beiden Salze. Jeweils das Ende von vier Magnesiu</w:t>
      </w:r>
      <w:r w:rsidRPr="00527200">
        <w:rPr>
          <w:rFonts w:ascii="Verdana" w:hAnsi="Verdana"/>
          <w:i/>
        </w:rPr>
        <w:t>m</w:t>
      </w:r>
      <w:r w:rsidRPr="00527200">
        <w:rPr>
          <w:rFonts w:ascii="Verdana" w:hAnsi="Verdana"/>
          <w:i/>
        </w:rPr>
        <w:t>stäbchen wird in der Brennerflamme zum Glühen erhitzt un</w:t>
      </w:r>
      <w:r>
        <w:rPr>
          <w:rFonts w:ascii="Verdana" w:hAnsi="Verdana"/>
          <w:i/>
        </w:rPr>
        <w:t>d noch heiß in Natriumborat-Dec</w:t>
      </w:r>
      <w:r w:rsidRPr="00527200">
        <w:rPr>
          <w:rFonts w:ascii="Verdana" w:hAnsi="Verdana"/>
          <w:i/>
        </w:rPr>
        <w:t>ahydrat gedrückt. Das anhaftende Salz wird daraufhin in der Brennerflamme geschmolzen. Nach dem Erkalten werden die g</w:t>
      </w:r>
      <w:r>
        <w:rPr>
          <w:rFonts w:ascii="Verdana" w:hAnsi="Verdana"/>
          <w:i/>
        </w:rPr>
        <w:t>lasklaren Boraxperlen mit demineralisiertem</w:t>
      </w:r>
      <w:r w:rsidRPr="00527200">
        <w:rPr>
          <w:rFonts w:ascii="Verdana" w:hAnsi="Verdana"/>
          <w:i/>
        </w:rPr>
        <w:t xml:space="preserve"> Wasser angefeuchtet; zwei Boraxperlen taucht man in das Eisensulfat, die anderen zwei in das Cobaltchlorid. Eine der beiden Proben eines Sa</w:t>
      </w:r>
      <w:r w:rsidRPr="00527200">
        <w:rPr>
          <w:rFonts w:ascii="Verdana" w:hAnsi="Verdana"/>
          <w:i/>
        </w:rPr>
        <w:t>l</w:t>
      </w:r>
      <w:r w:rsidRPr="00527200">
        <w:rPr>
          <w:rFonts w:ascii="Verdana" w:hAnsi="Verdana"/>
          <w:i/>
        </w:rPr>
        <w:t xml:space="preserve">zes wird in der Reduktionszone, die andere in der Oxidationszone der Brennerflamme geschmolzen. </w:t>
      </w:r>
    </w:p>
    <w:p w:rsidR="00624D80" w:rsidRPr="00A33993" w:rsidRDefault="00624D80">
      <w:pPr>
        <w:rPr>
          <w:rFonts w:ascii="Arial" w:hAnsi="Arial"/>
        </w:rPr>
      </w:pPr>
    </w:p>
    <w:p w:rsidR="00527200" w:rsidRDefault="0052720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527200" w:rsidRPr="00527200" w:rsidRDefault="00527200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FE1EE2" w:rsidRDefault="00FE1EE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6B66DA" w:rsidRDefault="006B66DA">
      <w:pPr>
        <w:rPr>
          <w:rFonts w:ascii="Verdana" w:hAnsi="Verdana"/>
          <w:i/>
        </w:rPr>
      </w:pPr>
      <w:r>
        <w:rPr>
          <w:rFonts w:ascii="Verdana" w:hAnsi="Verdana"/>
          <w:i/>
        </w:rPr>
        <w:t>Boraxperlen in den Sammelbehälter "Anorganische Feststoffe" geben.</w:t>
      </w: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6B66D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B66D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B66D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B66D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6B66D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FE1EE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3895090</wp:posOffset>
            </wp:positionH>
            <wp:positionV relativeFrom="margin">
              <wp:posOffset>2701925</wp:posOffset>
            </wp:positionV>
            <wp:extent cx="402590" cy="396240"/>
            <wp:effectExtent l="19050" t="0" r="0" b="0"/>
            <wp:wrapNone/>
            <wp:docPr id="6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1375410</wp:posOffset>
            </wp:positionH>
            <wp:positionV relativeFrom="margin">
              <wp:posOffset>2701925</wp:posOffset>
            </wp:positionV>
            <wp:extent cx="402590" cy="396240"/>
            <wp:effectExtent l="19050" t="0" r="0" b="0"/>
            <wp:wrapNone/>
            <wp:docPr id="70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6B66DA" w:rsidRDefault="006B66D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Durchführung nur im Abzug</w:t>
      </w:r>
    </w:p>
    <w:p w:rsidR="00382839" w:rsidRDefault="00382839">
      <w:pPr>
        <w:rPr>
          <w:rFonts w:ascii="Verdana" w:hAnsi="Verdana"/>
          <w:b/>
        </w:rPr>
      </w:pPr>
    </w:p>
    <w:p w:rsidR="006B66DA" w:rsidRDefault="006B66DA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6B66DA" w:rsidRDefault="006B66DA" w:rsidP="006B66DA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Für den rein analytischen Nachweis von Schwermetallkationen kann </w:t>
      </w:r>
      <w:r w:rsidR="00CE4D74">
        <w:rPr>
          <w:rFonts w:ascii="Verdana" w:hAnsi="Verdana"/>
          <w:i/>
        </w:rPr>
        <w:t xml:space="preserve">und muss </w:t>
      </w:r>
      <w:r>
        <w:rPr>
          <w:rFonts w:ascii="Verdana" w:hAnsi="Verdana"/>
          <w:i/>
        </w:rPr>
        <w:t xml:space="preserve">Borax durch die Phosphorsalzperle </w:t>
      </w:r>
      <w:r w:rsidR="00FE1EE2">
        <w:rPr>
          <w:rFonts w:ascii="Verdana" w:hAnsi="Verdana"/>
          <w:i/>
        </w:rPr>
        <w:t>(Natrium-Ammonium-H</w:t>
      </w:r>
      <w:r>
        <w:rPr>
          <w:rFonts w:ascii="Verdana" w:hAnsi="Verdana"/>
          <w:i/>
        </w:rPr>
        <w:t>ydrog</w:t>
      </w:r>
      <w:r w:rsidR="00CE4D74">
        <w:rPr>
          <w:rFonts w:ascii="Verdana" w:hAnsi="Verdana"/>
          <w:i/>
        </w:rPr>
        <w:t>enphosphat) ersetzt werden. In diesem E</w:t>
      </w:r>
      <w:r w:rsidR="00CE4D74">
        <w:rPr>
          <w:rFonts w:ascii="Verdana" w:hAnsi="Verdana"/>
          <w:i/>
        </w:rPr>
        <w:t>x</w:t>
      </w:r>
      <w:r w:rsidR="00CE4D74">
        <w:rPr>
          <w:rFonts w:ascii="Verdana" w:hAnsi="Verdana"/>
          <w:i/>
        </w:rPr>
        <w:t xml:space="preserve">periment </w:t>
      </w:r>
      <w:r>
        <w:rPr>
          <w:rFonts w:ascii="Verdana" w:hAnsi="Verdana"/>
          <w:i/>
        </w:rPr>
        <w:t>geht es aber um das Aufzeigen der Schrägbeziehung von Bor und Silicium im Periodensy</w:t>
      </w:r>
      <w:r>
        <w:rPr>
          <w:rFonts w:ascii="Verdana" w:hAnsi="Verdana"/>
          <w:i/>
        </w:rPr>
        <w:t>s</w:t>
      </w:r>
      <w:r>
        <w:rPr>
          <w:rFonts w:ascii="Verdana" w:hAnsi="Verdana"/>
          <w:i/>
        </w:rPr>
        <w:t>tem. Das gelingt mit der Boraxperle am einfachsten und knüpft an das Experiment der farbigen Gläser (si</w:t>
      </w:r>
      <w:r>
        <w:rPr>
          <w:rFonts w:ascii="Verdana" w:hAnsi="Verdana"/>
          <w:i/>
        </w:rPr>
        <w:t>e</w:t>
      </w:r>
      <w:r>
        <w:rPr>
          <w:rFonts w:ascii="Verdana" w:hAnsi="Verdana"/>
          <w:i/>
        </w:rPr>
        <w:t>he Band 1, Seite 61) an.</w:t>
      </w:r>
      <w:r w:rsidR="00FE1EE2">
        <w:rPr>
          <w:rFonts w:ascii="Verdana" w:hAnsi="Verdana"/>
          <w:i/>
        </w:rPr>
        <w:t xml:space="preserve"> Die Tätigkeitsverbote für Schülerinnen und Schüler, sowie für gebärfähige Frauen, we</w:t>
      </w:r>
      <w:r w:rsidR="00FE1EE2">
        <w:rPr>
          <w:rFonts w:ascii="Verdana" w:hAnsi="Verdana"/>
          <w:i/>
        </w:rPr>
        <w:t>r</w:t>
      </w:r>
      <w:r w:rsidR="00FE1EE2">
        <w:rPr>
          <w:rFonts w:ascii="Verdana" w:hAnsi="Verdana"/>
          <w:i/>
        </w:rPr>
        <w:t>dende und stillende Mütter werden beachtet.</w:t>
      </w:r>
    </w:p>
    <w:p w:rsidR="00624D80" w:rsidRDefault="00624D80">
      <w:pPr>
        <w:rPr>
          <w:rFonts w:ascii="Arial" w:hAnsi="Arial"/>
        </w:rPr>
      </w:pPr>
    </w:p>
    <w:p w:rsidR="006B66DA" w:rsidRDefault="006B66DA">
      <w:pPr>
        <w:rPr>
          <w:rFonts w:ascii="Arial" w:hAnsi="Arial"/>
        </w:rPr>
      </w:pPr>
    </w:p>
    <w:p w:rsidR="006B66DA" w:rsidRDefault="006B66D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FE1EE2" w:rsidRDefault="00FE1EE2">
      <w:pPr>
        <w:rPr>
          <w:rFonts w:ascii="Verdana" w:hAnsi="Verdana"/>
          <w:b/>
        </w:rPr>
      </w:pPr>
    </w:p>
    <w:p w:rsidR="00D12FDC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H302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H315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H317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H319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H334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D12FDC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H341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Kann vermutlich genetische Defekte verursachen</w:t>
      </w:r>
      <w:r w:rsidR="00902866">
        <w:rPr>
          <w:rFonts w:ascii="Verdana" w:hAnsi="Verdana"/>
          <w:sz w:val="16"/>
          <w:szCs w:val="16"/>
          <w:lang w:eastAsia="zh-CN"/>
        </w:rPr>
        <w:t>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H350i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</w:rPr>
        <w:t>Kann beim Einatmen Krebs erzeugen.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H360F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</w:rPr>
        <w:t>Kann die Fruchtbarkeit beeinträchtigen.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H360FD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</w:rPr>
        <w:t>Kann die Fruchtbarkeit beeinträchtigen. Kann das Kind im Mutterleib schädigen.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H410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Pr="00902866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D12FDC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P201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P273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P280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902866">
        <w:rPr>
          <w:rFonts w:ascii="Verdana" w:hAnsi="Verdana"/>
          <w:sz w:val="16"/>
          <w:szCs w:val="16"/>
          <w:lang w:eastAsia="zh-CN"/>
        </w:rPr>
        <w:tab/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P302+252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>
        <w:rPr>
          <w:rFonts w:ascii="Verdana" w:hAnsi="Verdana"/>
          <w:sz w:val="16"/>
          <w:szCs w:val="16"/>
          <w:lang w:eastAsia="zh-CN"/>
        </w:rPr>
        <w:t>Bei Berührung mit der Haut</w:t>
      </w:r>
      <w:r w:rsidR="00902866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902866">
        <w:rPr>
          <w:rFonts w:ascii="Verdana" w:hAnsi="Verdana"/>
          <w:sz w:val="16"/>
          <w:szCs w:val="16"/>
          <w:lang w:eastAsia="zh-CN"/>
        </w:rPr>
        <w:t xml:space="preserve"> und Seife</w:t>
      </w:r>
      <w:r w:rsidR="00902866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P304+340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>
        <w:rPr>
          <w:rFonts w:ascii="Verdana" w:hAnsi="Verdana"/>
          <w:sz w:val="16"/>
          <w:szCs w:val="16"/>
          <w:lang w:eastAsia="zh-CN"/>
        </w:rPr>
        <w:t>Bei Einatmen</w:t>
      </w:r>
      <w:r w:rsidR="00902866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FE1EE2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02866">
        <w:rPr>
          <w:rFonts w:ascii="Verdana" w:hAnsi="Verdana"/>
          <w:sz w:val="16"/>
          <w:szCs w:val="16"/>
          <w:lang w:val="de-CH"/>
        </w:rPr>
        <w:t>P305+351+338</w:t>
      </w:r>
      <w:r w:rsidR="00902866" w:rsidRPr="00902866">
        <w:rPr>
          <w:rFonts w:ascii="Verdana" w:hAnsi="Verdana"/>
          <w:sz w:val="16"/>
          <w:szCs w:val="16"/>
          <w:lang w:val="de-CH"/>
        </w:rPr>
        <w:tab/>
      </w:r>
      <w:r w:rsidR="00902866">
        <w:rPr>
          <w:rFonts w:ascii="Verdana" w:hAnsi="Verdana"/>
          <w:sz w:val="16"/>
          <w:szCs w:val="16"/>
          <w:lang w:eastAsia="zh-CN"/>
        </w:rPr>
        <w:t>Bei Berührung mit den Augen</w:t>
      </w:r>
      <w:r w:rsidR="00902866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02866">
        <w:rPr>
          <w:rFonts w:ascii="Verdana" w:hAnsi="Verdana"/>
          <w:sz w:val="16"/>
          <w:szCs w:val="16"/>
          <w:lang w:eastAsia="zh-CN"/>
        </w:rPr>
        <w:tab/>
      </w:r>
      <w:r w:rsidR="00902866">
        <w:rPr>
          <w:rFonts w:ascii="Verdana" w:hAnsi="Verdana"/>
          <w:sz w:val="16"/>
          <w:szCs w:val="16"/>
          <w:lang w:eastAsia="zh-CN"/>
        </w:rPr>
        <w:tab/>
      </w:r>
      <w:r w:rsidR="00902866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</w:t>
      </w:r>
    </w:p>
    <w:p w:rsidR="00D12FDC" w:rsidRPr="00902866" w:rsidRDefault="00FE1EE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02866">
        <w:rPr>
          <w:rFonts w:ascii="Verdana" w:hAnsi="Verdana"/>
          <w:sz w:val="16"/>
          <w:szCs w:val="16"/>
          <w:lang w:val="de-CH"/>
        </w:rPr>
        <w:t>P308+313</w:t>
      </w:r>
      <w:r w:rsidR="00902866">
        <w:rPr>
          <w:rFonts w:ascii="Verdana" w:hAnsi="Verdana"/>
          <w:sz w:val="16"/>
          <w:szCs w:val="16"/>
          <w:lang w:val="de-CH"/>
        </w:rPr>
        <w:tab/>
      </w:r>
      <w:r w:rsidR="00902866" w:rsidRPr="00902866">
        <w:rPr>
          <w:rFonts w:ascii="Verdana" w:hAnsi="Verdana"/>
          <w:sz w:val="16"/>
          <w:szCs w:val="16"/>
          <w:lang w:val="de-CH"/>
        </w:rPr>
        <w:t>Bei Exposition oder Verdacht: Ärztlichen Rat einholen/ärztliche Hilfe hinzuziehen.</w:t>
      </w:r>
    </w:p>
    <w:p w:rsidR="00015609" w:rsidRPr="00902866" w:rsidRDefault="00015609">
      <w:pPr>
        <w:rPr>
          <w:rFonts w:ascii="Verdana" w:hAnsi="Verdana"/>
          <w:b/>
          <w:lang w:val="de-CH"/>
        </w:rPr>
      </w:pPr>
    </w:p>
    <w:p w:rsidR="00FE1EE2" w:rsidRPr="00902866" w:rsidRDefault="00FE1EE2">
      <w:pPr>
        <w:rPr>
          <w:rFonts w:ascii="Verdana" w:hAnsi="Verdana"/>
          <w:lang w:val="de-CH"/>
        </w:rPr>
      </w:pPr>
    </w:p>
    <w:p w:rsidR="00FE1EE2" w:rsidRPr="00902866" w:rsidRDefault="00FE1EE2">
      <w:pPr>
        <w:rPr>
          <w:rFonts w:ascii="Verdana" w:hAnsi="Verdana"/>
          <w:lang w:val="de-CH"/>
        </w:rPr>
      </w:pPr>
    </w:p>
    <w:p w:rsidR="00624D80" w:rsidRPr="00902866" w:rsidRDefault="00382839">
      <w:pPr>
        <w:rPr>
          <w:rFonts w:ascii="Verdana" w:hAnsi="Verdana"/>
          <w:lang w:val="de-CH"/>
        </w:rPr>
      </w:pPr>
      <w:r w:rsidRPr="00902866">
        <w:rPr>
          <w:rFonts w:ascii="Verdana" w:hAnsi="Verdana"/>
          <w:lang w:val="de-CH"/>
        </w:rPr>
        <w:t>Schule:</w:t>
      </w:r>
    </w:p>
    <w:p w:rsidR="00624D80" w:rsidRPr="00902866" w:rsidRDefault="00624D80">
      <w:pPr>
        <w:rPr>
          <w:rFonts w:ascii="Arial" w:hAnsi="Arial"/>
          <w:lang w:val="de-CH"/>
        </w:rPr>
      </w:pPr>
    </w:p>
    <w:p w:rsidR="00015609" w:rsidRPr="00902866" w:rsidRDefault="00015609">
      <w:pPr>
        <w:rPr>
          <w:rFonts w:ascii="Arial" w:hAnsi="Arial"/>
          <w:sz w:val="24"/>
          <w:lang w:val="de-CH"/>
        </w:rPr>
      </w:pPr>
    </w:p>
    <w:p w:rsidR="00015609" w:rsidRPr="00902866" w:rsidRDefault="00015609">
      <w:pPr>
        <w:rPr>
          <w:rFonts w:ascii="Arial" w:hAnsi="Arial"/>
          <w:sz w:val="24"/>
          <w:lang w:val="de-CH"/>
        </w:rPr>
      </w:pPr>
    </w:p>
    <w:p w:rsidR="00FE1EE2" w:rsidRPr="00902866" w:rsidRDefault="00FE1EE2">
      <w:pPr>
        <w:rPr>
          <w:rFonts w:ascii="Verdana" w:hAnsi="Verdana"/>
          <w:lang w:val="de-CH"/>
        </w:rPr>
      </w:pPr>
    </w:p>
    <w:p w:rsidR="00FE1EE2" w:rsidRPr="00902866" w:rsidRDefault="00FE1EE2">
      <w:pPr>
        <w:rPr>
          <w:rFonts w:ascii="Verdana" w:hAnsi="Verdana"/>
          <w:lang w:val="de-CH"/>
        </w:rPr>
      </w:pPr>
    </w:p>
    <w:p w:rsidR="00FE1EE2" w:rsidRPr="00902866" w:rsidRDefault="00FE1EE2">
      <w:pPr>
        <w:rPr>
          <w:rFonts w:ascii="Verdana" w:hAnsi="Verdana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E1EE2" w:rsidRDefault="00FE1EE2">
      <w:pPr>
        <w:rPr>
          <w:rFonts w:ascii="Verdana" w:hAnsi="Verdana"/>
        </w:rPr>
      </w:pPr>
    </w:p>
    <w:p w:rsidR="00FE1EE2" w:rsidRDefault="00FE1EE2">
      <w:pPr>
        <w:rPr>
          <w:rFonts w:ascii="Verdana" w:hAnsi="Verdana"/>
        </w:rPr>
      </w:pPr>
    </w:p>
    <w:p w:rsidR="00FE1EE2" w:rsidRDefault="00FE1EE2">
      <w:pPr>
        <w:rPr>
          <w:rFonts w:ascii="Verdana" w:hAnsi="Verdana"/>
        </w:rPr>
      </w:pPr>
    </w:p>
    <w:p w:rsidR="00FE1EE2" w:rsidRDefault="00FE1EE2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FE1EE2" w:rsidRDefault="00FE1EE2" w:rsidP="00B150DF">
      <w:pPr>
        <w:rPr>
          <w:rFonts w:ascii="Verdana" w:hAnsi="Verdana"/>
          <w:sz w:val="16"/>
          <w:szCs w:val="16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E1EE2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04" w:rsidRDefault="00921B04" w:rsidP="00015609">
      <w:r>
        <w:separator/>
      </w:r>
    </w:p>
  </w:endnote>
  <w:endnote w:type="continuationSeparator" w:id="0">
    <w:p w:rsidR="00921B04" w:rsidRDefault="00921B0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04" w:rsidRDefault="00921B04" w:rsidP="00015609">
      <w:r>
        <w:separator/>
      </w:r>
    </w:p>
  </w:footnote>
  <w:footnote w:type="continuationSeparator" w:id="0">
    <w:p w:rsidR="00921B04" w:rsidRDefault="00921B0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143E1" w:rsidP="00015609">
    <w:pPr>
      <w:pStyle w:val="Kopfzeile"/>
      <w:tabs>
        <w:tab w:val="clear" w:pos="4536"/>
        <w:tab w:val="clear" w:pos="9072"/>
        <w:tab w:val="left" w:pos="8445"/>
      </w:tabs>
    </w:pPr>
    <w:r w:rsidRPr="00D143E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143E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143E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E4862"/>
    <w:rsid w:val="00523D26"/>
    <w:rsid w:val="00527200"/>
    <w:rsid w:val="00550CF0"/>
    <w:rsid w:val="00563BBE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B66DA"/>
    <w:rsid w:val="006D713D"/>
    <w:rsid w:val="006E514C"/>
    <w:rsid w:val="006F371F"/>
    <w:rsid w:val="006F5584"/>
    <w:rsid w:val="0070507A"/>
    <w:rsid w:val="007073C1"/>
    <w:rsid w:val="0071582C"/>
    <w:rsid w:val="00716E2E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2866"/>
    <w:rsid w:val="00907BD8"/>
    <w:rsid w:val="00921B04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E4D74"/>
    <w:rsid w:val="00CF4E87"/>
    <w:rsid w:val="00D12FDC"/>
    <w:rsid w:val="00D143E1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E1EE2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99BB-722A-4A24-A98F-42BF925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2016-02-27T12:47:00Z</dcterms:created>
  <dcterms:modified xsi:type="dcterms:W3CDTF">2016-03-11T09:26:00Z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