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F72D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422340">
        <w:rPr>
          <w:rFonts w:ascii="Verdana" w:hAnsi="Verdana"/>
          <w:b/>
        </w:rPr>
        <w:t xml:space="preserve">Demonstration der Oxalsäure und ihre Gewinnung aus Pflanzen </w:t>
      </w:r>
      <w:r w:rsidR="00422340">
        <w:rPr>
          <w:rFonts w:ascii="Verdana" w:hAnsi="Verdana"/>
          <w:b/>
        </w:rPr>
        <w:tab/>
      </w:r>
      <w:r w:rsidR="00422340">
        <w:rPr>
          <w:rFonts w:ascii="Verdana" w:hAnsi="Verdana"/>
          <w:b/>
        </w:rPr>
        <w:tab/>
      </w:r>
      <w:r w:rsidR="00422340">
        <w:rPr>
          <w:rFonts w:ascii="Verdana" w:hAnsi="Verdana"/>
          <w:b/>
        </w:rPr>
        <w:tab/>
      </w:r>
      <w:r w:rsidR="00422340">
        <w:rPr>
          <w:rFonts w:ascii="Verdana" w:hAnsi="Verdana"/>
          <w:b/>
        </w:rPr>
        <w:tab/>
        <w:t>(5.6)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422340">
        <w:rPr>
          <w:rFonts w:ascii="Verdana" w:hAnsi="Verdana"/>
          <w:b/>
        </w:rPr>
        <w:t>176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F72D4">
      <w:pPr>
        <w:rPr>
          <w:rFonts w:ascii="Arial" w:hAnsi="Arial"/>
          <w:sz w:val="24"/>
        </w:rPr>
      </w:pPr>
      <w:r w:rsidRPr="009F72D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22340" w:rsidRDefault="0042234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F72D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22340" w:rsidRDefault="0042234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F72D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22340" w:rsidRDefault="0042234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Default="004223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Oxalsäure-</w:t>
            </w:r>
          </w:p>
          <w:p w:rsidR="00422340" w:rsidRPr="00AC60B9" w:rsidRDefault="004223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Dihydrat</w:t>
            </w:r>
          </w:p>
        </w:tc>
        <w:tc>
          <w:tcPr>
            <w:tcW w:w="1418" w:type="dxa"/>
          </w:tcPr>
          <w:p w:rsidR="00DC32FF" w:rsidRPr="00422340" w:rsidRDefault="0042234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454025</wp:posOffset>
                  </wp:positionH>
                  <wp:positionV relativeFrom="margin">
                    <wp:posOffset>67310</wp:posOffset>
                  </wp:positionV>
                  <wp:extent cx="321310" cy="32766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67310</wp:posOffset>
                  </wp:positionV>
                  <wp:extent cx="321310" cy="327660"/>
                  <wp:effectExtent l="19050" t="0" r="2540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 H318</w:t>
            </w:r>
          </w:p>
        </w:tc>
        <w:tc>
          <w:tcPr>
            <w:tcW w:w="1134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422340" w:rsidP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P264a P280 P301+312 P305+351+338 </w:t>
            </w:r>
          </w:p>
        </w:tc>
        <w:tc>
          <w:tcPr>
            <w:tcW w:w="1218" w:type="dxa"/>
          </w:tcPr>
          <w:p w:rsidR="00DC32FF" w:rsidRPr="00AC60B9" w:rsidRDefault="0042234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E </w:t>
            </w:r>
            <w:r w:rsidRPr="00422340">
              <w:rPr>
                <w:rFonts w:ascii="Verdana" w:hAnsi="Verdana"/>
                <w:sz w:val="12"/>
                <w:szCs w:val="12"/>
              </w:rPr>
              <w:t>(</w:t>
            </w:r>
            <w:r w:rsidR="00627819" w:rsidRPr="00422340">
              <w:rPr>
                <w:rFonts w:ascii="Verdana" w:hAnsi="Verdana"/>
                <w:sz w:val="12"/>
                <w:szCs w:val="12"/>
              </w:rPr>
              <w:t>einate</w:t>
            </w:r>
            <w:r w:rsidR="00627819" w:rsidRPr="00422340">
              <w:rPr>
                <w:rFonts w:ascii="Verdana" w:hAnsi="Verdana"/>
                <w:sz w:val="12"/>
                <w:szCs w:val="12"/>
              </w:rPr>
              <w:t>m</w:t>
            </w:r>
            <w:r w:rsidR="00627819" w:rsidRPr="00422340">
              <w:rPr>
                <w:rFonts w:ascii="Verdana" w:hAnsi="Verdana"/>
                <w:sz w:val="12"/>
                <w:szCs w:val="12"/>
              </w:rPr>
              <w:t>bare</w:t>
            </w:r>
            <w:r w:rsidRPr="00422340">
              <w:rPr>
                <w:rFonts w:ascii="Verdana" w:hAnsi="Verdana"/>
                <w:sz w:val="12"/>
                <w:szCs w:val="12"/>
              </w:rPr>
              <w:t xml:space="preserve"> Fraktion)</w:t>
            </w: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Default="004223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Essigsäure</w:t>
            </w:r>
          </w:p>
          <w:p w:rsidR="00422340" w:rsidRPr="00422340" w:rsidRDefault="0042234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2340">
              <w:rPr>
                <w:rFonts w:ascii="Verdana" w:hAnsi="Verdana"/>
                <w:b w:val="0"/>
                <w:sz w:val="16"/>
                <w:szCs w:val="16"/>
              </w:rPr>
              <w:t>(w = 10%)</w:t>
            </w:r>
          </w:p>
        </w:tc>
        <w:tc>
          <w:tcPr>
            <w:tcW w:w="1418" w:type="dxa"/>
          </w:tcPr>
          <w:p w:rsidR="00DC32FF" w:rsidRPr="00AC60B9" w:rsidRDefault="00422340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422340">
            <w:pPr>
              <w:cnfStyle w:val="000000000000"/>
              <w:rPr>
                <w:rFonts w:ascii="Verdana" w:hAnsi="Verdana"/>
              </w:rPr>
            </w:pPr>
            <w:r w:rsidRPr="0042234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68580</wp:posOffset>
                  </wp:positionV>
                  <wp:extent cx="321310" cy="327660"/>
                  <wp:effectExtent l="19050" t="0" r="2540" b="0"/>
                  <wp:wrapNone/>
                  <wp:docPr id="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454025</wp:posOffset>
                  </wp:positionH>
                  <wp:positionV relativeFrom="margin">
                    <wp:posOffset>68580</wp:posOffset>
                  </wp:positionV>
                  <wp:extent cx="318135" cy="320040"/>
                  <wp:effectExtent l="19050" t="0" r="5715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42234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H315</w:t>
            </w:r>
          </w:p>
        </w:tc>
        <w:tc>
          <w:tcPr>
            <w:tcW w:w="1134" w:type="dxa"/>
          </w:tcPr>
          <w:p w:rsidR="00DC32FF" w:rsidRPr="00AC60B9" w:rsidRDefault="0042234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42234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</w:t>
            </w:r>
          </w:p>
        </w:tc>
        <w:tc>
          <w:tcPr>
            <w:tcW w:w="1218" w:type="dxa"/>
          </w:tcPr>
          <w:p w:rsidR="00DC32FF" w:rsidRPr="00AC60B9" w:rsidRDefault="0042234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22340" w:rsidRPr="000F5CEC" w:rsidTr="00422340">
        <w:trPr>
          <w:cnfStyle w:val="000000100000"/>
          <w:trHeight w:val="708"/>
        </w:trPr>
        <w:tc>
          <w:tcPr>
            <w:cnfStyle w:val="001000000000"/>
            <w:tcW w:w="1809" w:type="dxa"/>
          </w:tcPr>
          <w:p w:rsidR="00422340" w:rsidRDefault="00422340" w:rsidP="000C77A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Calciumchlorid </w:t>
            </w:r>
            <w:r w:rsidRPr="00C02843">
              <w:rPr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Lösung: </w:t>
            </w:r>
          </w:p>
          <w:p w:rsidR="00422340" w:rsidRDefault="00422340" w:rsidP="000C77A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30%)</w:t>
            </w:r>
          </w:p>
        </w:tc>
        <w:tc>
          <w:tcPr>
            <w:tcW w:w="1418" w:type="dxa"/>
          </w:tcPr>
          <w:p w:rsidR="00422340" w:rsidRDefault="00422340" w:rsidP="000C77A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422340" w:rsidRDefault="00422340" w:rsidP="000C77A8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C02843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293105</wp:posOffset>
                  </wp:positionH>
                  <wp:positionV relativeFrom="margin">
                    <wp:posOffset>65556</wp:posOffset>
                  </wp:positionV>
                  <wp:extent cx="317699" cy="320723"/>
                  <wp:effectExtent l="19050" t="0" r="6151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22340" w:rsidRDefault="00422340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1134" w:type="dxa"/>
          </w:tcPr>
          <w:p w:rsidR="00422340" w:rsidRDefault="00422340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22340" w:rsidRDefault="00422340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422340" w:rsidRDefault="00422340" w:rsidP="000C7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42234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Rhabarber- oder Sauerampferblätter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422340" w:rsidRPr="00422340" w:rsidRDefault="00422340" w:rsidP="00422340">
      <w:pPr>
        <w:jc w:val="both"/>
        <w:rPr>
          <w:rFonts w:ascii="Verdana" w:hAnsi="Verdana"/>
          <w:i/>
        </w:rPr>
      </w:pPr>
      <w:r w:rsidRPr="00422340">
        <w:rPr>
          <w:rFonts w:ascii="Verdana" w:hAnsi="Verdana"/>
          <w:i/>
        </w:rPr>
        <w:t xml:space="preserve">Einige </w:t>
      </w:r>
      <w:r>
        <w:rPr>
          <w:rFonts w:ascii="Verdana" w:hAnsi="Verdana"/>
          <w:i/>
        </w:rPr>
        <w:t xml:space="preserve">im Trockenschrank entwässerte </w:t>
      </w:r>
      <w:r w:rsidRPr="00422340">
        <w:rPr>
          <w:rFonts w:ascii="Verdana" w:hAnsi="Verdana"/>
          <w:i/>
        </w:rPr>
        <w:t xml:space="preserve">Oxalsäurekristalle werden in einem großen Reagenzglas erhitzt, dessen Öffnung mit einem Glaswollebausch verschlossen ist. Damit werden die leichte Sublimierbarkeit und die Resublimierung an den kalten Reagenzglasteilen gezeigt. </w:t>
      </w:r>
    </w:p>
    <w:p w:rsidR="00624D80" w:rsidRPr="00422340" w:rsidRDefault="00422340" w:rsidP="00422340">
      <w:pPr>
        <w:jc w:val="both"/>
        <w:rPr>
          <w:rFonts w:ascii="Arial" w:hAnsi="Arial"/>
        </w:rPr>
      </w:pPr>
      <w:r w:rsidRPr="00422340">
        <w:rPr>
          <w:rFonts w:ascii="Verdana" w:hAnsi="Verdana"/>
          <w:i/>
        </w:rPr>
        <w:t>Etwa 250 g Rhabarberblätter werden zerkleinert, in ein Bechergas mit 500 ml Wasser gegeben und 15 Minute gekocht. Mit einem Tuch wird der Sud über einem zweiten Becherglas ausgepresst; der Pres</w:t>
      </w:r>
      <w:r w:rsidRPr="00422340">
        <w:rPr>
          <w:rFonts w:ascii="Verdana" w:hAnsi="Verdana"/>
          <w:i/>
        </w:rPr>
        <w:t>s</w:t>
      </w:r>
      <w:r w:rsidRPr="00422340">
        <w:rPr>
          <w:rFonts w:ascii="Verdana" w:hAnsi="Verdana"/>
          <w:i/>
        </w:rPr>
        <w:t>saft wird zum Sieden erhitzt und abgenutscht. Das klare Filtrat ist mit Essigsäure anzusäuern und so lange mit 1 ml Portionen von Calciumchloridlösung zu versetzen, bis sich kein Niederschlag mehr bi</w:t>
      </w:r>
      <w:r w:rsidRPr="00422340">
        <w:rPr>
          <w:rFonts w:ascii="Verdana" w:hAnsi="Verdana"/>
          <w:i/>
        </w:rPr>
        <w:t>l</w:t>
      </w:r>
      <w:r w:rsidRPr="00422340">
        <w:rPr>
          <w:rFonts w:ascii="Verdana" w:hAnsi="Verdana"/>
          <w:i/>
        </w:rPr>
        <w:t>det. Am folgenden Tag wird die klare Lösung vorsichtig und vollständig vom Bodensatz dekantiert; di</w:t>
      </w:r>
      <w:r w:rsidRPr="00422340">
        <w:rPr>
          <w:rFonts w:ascii="Verdana" w:hAnsi="Verdana"/>
          <w:i/>
        </w:rPr>
        <w:t>e</w:t>
      </w:r>
      <w:r w:rsidRPr="00422340">
        <w:rPr>
          <w:rFonts w:ascii="Verdana" w:hAnsi="Verdana"/>
          <w:i/>
        </w:rPr>
        <w:t>ser wird auf einem Uhrglas getrocknet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22340" w:rsidRPr="00422340" w:rsidRDefault="00422340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Oxalsäurerauch nicht einatmen!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422340" w:rsidRPr="00422340" w:rsidRDefault="00422340">
      <w:pPr>
        <w:rPr>
          <w:rFonts w:ascii="Verdana" w:hAnsi="Verdana"/>
          <w:i/>
        </w:rPr>
      </w:pPr>
      <w:r>
        <w:rPr>
          <w:rFonts w:ascii="Verdana" w:hAnsi="Verdana"/>
          <w:i/>
        </w:rPr>
        <w:t>Feststoffe über den Hausmüll, Lösungen über das Abwasser entsorgen. Calciumoxalat weiter verwe</w:t>
      </w:r>
      <w:r>
        <w:rPr>
          <w:rFonts w:ascii="Verdana" w:hAnsi="Verdana"/>
          <w:i/>
        </w:rPr>
        <w:t>n</w:t>
      </w:r>
      <w:r>
        <w:rPr>
          <w:rFonts w:ascii="Verdana" w:hAnsi="Verdana"/>
          <w:i/>
        </w:rPr>
        <w:t>den.</w:t>
      </w:r>
    </w:p>
    <w:p w:rsidR="00015609" w:rsidRDefault="00015609">
      <w:pPr>
        <w:rPr>
          <w:rFonts w:ascii="Verdana" w:hAnsi="Verdana"/>
          <w:b/>
        </w:rPr>
      </w:pPr>
    </w:p>
    <w:p w:rsidR="00422340" w:rsidRDefault="00422340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2234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22340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2234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42234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2449830</wp:posOffset>
            </wp:positionH>
            <wp:positionV relativeFrom="margin">
              <wp:posOffset>3623945</wp:posOffset>
            </wp:positionV>
            <wp:extent cx="400050" cy="396240"/>
            <wp:effectExtent l="19050" t="0" r="0" b="0"/>
            <wp:wrapNone/>
            <wp:docPr id="10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422340" w:rsidRDefault="00422340">
      <w:pPr>
        <w:rPr>
          <w:rFonts w:ascii="Verdana" w:hAnsi="Verdana"/>
          <w:i/>
        </w:rPr>
      </w:pP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</w:r>
      <w:r w:rsidRPr="00422340">
        <w:rPr>
          <w:rFonts w:ascii="Verdana" w:hAnsi="Verdana"/>
          <w:i/>
        </w:rPr>
        <w:tab/>
        <w:t>Schutzbrille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422340" w:rsidRDefault="00422340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</w:p>
    <w:p w:rsidR="00624D80" w:rsidRDefault="00624D80">
      <w:pPr>
        <w:rPr>
          <w:rFonts w:ascii="Arial" w:hAnsi="Arial"/>
        </w:rPr>
      </w:pPr>
    </w:p>
    <w:p w:rsidR="00422340" w:rsidRDefault="00422340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0A69E7" w:rsidRDefault="000A69E7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627819" w:rsidRDefault="0062781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422340" w:rsidRDefault="00422340">
      <w:pPr>
        <w:rPr>
          <w:rFonts w:ascii="Verdana" w:hAnsi="Verdana"/>
          <w:b/>
        </w:rPr>
      </w:pPr>
    </w:p>
    <w:p w:rsidR="00D12FDC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H226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D12FDC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H302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H312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H315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H318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H319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D12FDC" w:rsidRPr="0062781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P264a</w:t>
      </w:r>
      <w:r w:rsid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="00627819"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D12FDC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P280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627819">
        <w:rPr>
          <w:rFonts w:ascii="Verdana" w:hAnsi="Verdana"/>
          <w:sz w:val="16"/>
          <w:szCs w:val="16"/>
          <w:lang w:eastAsia="zh-CN"/>
        </w:rPr>
        <w:tab/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P301+312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="00627819" w:rsidRPr="00693B6E">
        <w:rPr>
          <w:rFonts w:ascii="Verdana" w:hAnsi="Verdana"/>
          <w:sz w:val="16"/>
          <w:szCs w:val="16"/>
          <w:lang w:eastAsia="zh-CN"/>
        </w:rPr>
        <w:t>Bei Un</w:t>
      </w:r>
      <w:r w:rsidR="00627819"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="00627819"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422340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22340">
        <w:rPr>
          <w:rFonts w:ascii="Verdana" w:hAnsi="Verdana"/>
          <w:sz w:val="16"/>
          <w:szCs w:val="16"/>
        </w:rPr>
        <w:t>P301+330+331</w:t>
      </w:r>
      <w:r w:rsidR="00627819">
        <w:rPr>
          <w:rFonts w:ascii="Verdana" w:hAnsi="Verdana"/>
          <w:sz w:val="16"/>
          <w:szCs w:val="16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627819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627819">
        <w:rPr>
          <w:rFonts w:ascii="Verdana" w:hAnsi="Verdana"/>
          <w:sz w:val="16"/>
          <w:szCs w:val="16"/>
          <w:lang w:eastAsia="zh-CN"/>
        </w:rPr>
        <w:tab/>
      </w:r>
    </w:p>
    <w:p w:rsidR="00422340" w:rsidRPr="00627819" w:rsidRDefault="0042234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627819">
        <w:rPr>
          <w:rFonts w:ascii="Verdana" w:hAnsi="Verdana"/>
          <w:sz w:val="16"/>
          <w:szCs w:val="16"/>
          <w:lang w:val="de-CH"/>
        </w:rPr>
        <w:t>P305+351+338</w:t>
      </w:r>
      <w:r w:rsidR="00627819" w:rsidRPr="00627819">
        <w:rPr>
          <w:rFonts w:ascii="Verdana" w:hAnsi="Verdana"/>
          <w:sz w:val="16"/>
          <w:szCs w:val="16"/>
          <w:lang w:val="de-CH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>Bei Berührung mit den Augen</w:t>
      </w:r>
      <w:r w:rsidR="00627819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627819">
        <w:rPr>
          <w:rFonts w:ascii="Verdana" w:hAnsi="Verdana"/>
          <w:sz w:val="16"/>
          <w:szCs w:val="16"/>
          <w:lang w:eastAsia="zh-CN"/>
        </w:rPr>
        <w:tab/>
      </w:r>
      <w:r w:rsidR="00627819">
        <w:rPr>
          <w:rFonts w:ascii="Verdana" w:hAnsi="Verdana"/>
          <w:sz w:val="16"/>
          <w:szCs w:val="16"/>
          <w:lang w:eastAsia="zh-CN"/>
        </w:rPr>
        <w:tab/>
      </w:r>
      <w:r w:rsidR="00627819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015609" w:rsidRPr="00627819" w:rsidRDefault="00015609">
      <w:pPr>
        <w:rPr>
          <w:rFonts w:ascii="Verdana" w:hAnsi="Verdana"/>
          <w:b/>
          <w:lang w:val="de-CH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627819" w:rsidRDefault="00627819">
      <w:pPr>
        <w:rPr>
          <w:rFonts w:ascii="Arial" w:hAnsi="Arial"/>
          <w:sz w:val="24"/>
        </w:rPr>
      </w:pPr>
    </w:p>
    <w:p w:rsidR="00627819" w:rsidRDefault="0062781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627819" w:rsidRDefault="0062781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27819">
        <w:rPr>
          <w:rFonts w:ascii="Verdana" w:hAnsi="Verdana"/>
          <w:sz w:val="16"/>
          <w:szCs w:val="16"/>
        </w:rPr>
        <w:t>ule Zürich / Erstelldatum: 30.11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61" w:rsidRDefault="007A0361" w:rsidP="00015609">
      <w:r>
        <w:separator/>
      </w:r>
    </w:p>
  </w:endnote>
  <w:endnote w:type="continuationSeparator" w:id="0">
    <w:p w:rsidR="007A0361" w:rsidRDefault="007A036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61" w:rsidRDefault="007A0361" w:rsidP="00015609">
      <w:r>
        <w:separator/>
      </w:r>
    </w:p>
  </w:footnote>
  <w:footnote w:type="continuationSeparator" w:id="0">
    <w:p w:rsidR="007A0361" w:rsidRDefault="007A0361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F72D4" w:rsidP="00015609">
    <w:pPr>
      <w:pStyle w:val="Kopfzeile"/>
      <w:tabs>
        <w:tab w:val="clear" w:pos="4536"/>
        <w:tab w:val="clear" w:pos="9072"/>
        <w:tab w:val="left" w:pos="8445"/>
      </w:tabs>
    </w:pPr>
    <w:r w:rsidRPr="009F72D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F72D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F72D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A69E7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D1940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22340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27819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A0361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2466"/>
    <w:rsid w:val="00993BD6"/>
    <w:rsid w:val="009B4CC7"/>
    <w:rsid w:val="009C7CC5"/>
    <w:rsid w:val="009D57AA"/>
    <w:rsid w:val="009D5943"/>
    <w:rsid w:val="009D6827"/>
    <w:rsid w:val="009F52EC"/>
    <w:rsid w:val="009F72D4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E35F-BE72-4961-9038-674E6B6B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2015-11-30T16:58:00Z</dcterms:created>
  <dcterms:modified xsi:type="dcterms:W3CDTF">2015-12-19T14:05:00Z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