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0866BA" w:rsidP="009E35F4">
      <w:pPr>
        <w:jc w:val="center"/>
        <w:outlineLvl w:val="0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197B7E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911A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87457D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87457D">
        <w:rPr>
          <w:rFonts w:ascii="Verdana" w:hAnsi="Verdana"/>
          <w:b/>
        </w:rPr>
        <w:t>Das Leuchten des</w:t>
      </w:r>
      <w:r w:rsidR="006C1C98">
        <w:rPr>
          <w:rFonts w:ascii="Verdana" w:hAnsi="Verdana"/>
          <w:b/>
        </w:rPr>
        <w:t xml:space="preserve"> Phosphor</w:t>
      </w:r>
      <w:r w:rsidR="0087457D">
        <w:rPr>
          <w:rFonts w:ascii="Verdana" w:hAnsi="Verdana"/>
          <w:b/>
        </w:rPr>
        <w:t>s (9.1</w:t>
      </w:r>
      <w:r w:rsidR="006C1C98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87457D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87457D">
        <w:rPr>
          <w:rFonts w:ascii="Verdana" w:hAnsi="Verdana"/>
          <w:b/>
        </w:rPr>
        <w:t>233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911A2">
      <w:pPr>
        <w:rPr>
          <w:rFonts w:ascii="Arial" w:hAnsi="Arial"/>
          <w:sz w:val="24"/>
        </w:rPr>
      </w:pPr>
      <w:r w:rsidRPr="009911A2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0.95pt;margin-top:6.65pt;width:23.85pt;height:23.05pt;z-index:251661312" o:allowincell="f">
            <v:textbox style="mso-next-textbox:#_x0000_s1078">
              <w:txbxContent>
                <w:p w:rsidR="004A0699" w:rsidRPr="002B29A0" w:rsidRDefault="002B29A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 xml:space="preserve"> </w:t>
                  </w:r>
                </w:p>
              </w:txbxContent>
            </v:textbox>
          </v:shape>
        </w:pict>
      </w:r>
      <w:r w:rsidRPr="009911A2">
        <w:rPr>
          <w:rFonts w:ascii="Arial" w:hAnsi="Arial"/>
          <w:b/>
          <w:noProof/>
          <w:lang w:val="de-CH"/>
        </w:rPr>
        <w:pict>
          <v:shape id="_x0000_s1077" type="#_x0000_t202" style="position:absolute;margin-left:259.25pt;margin-top:6.65pt;width:23.85pt;height:23.05pt;z-index:251660288" o:allowincell="f">
            <v:textbox style="mso-next-textbox:#_x0000_s1077">
              <w:txbxContent>
                <w:p w:rsidR="004A0699" w:rsidRPr="006C1C98" w:rsidRDefault="006C1C9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911A2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6C1C98" w:rsidRDefault="006C1C9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Pr="0087457D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Pr="00094BA1">
        <w:rPr>
          <w:rFonts w:ascii="Verdana" w:hAnsi="Verdana"/>
        </w:rPr>
        <w:t>Schüler</w:t>
      </w:r>
      <w:r w:rsidR="002B29A0">
        <w:rPr>
          <w:rFonts w:ascii="Verdana" w:hAnsi="Verdana"/>
        </w:rPr>
        <w:t xml:space="preserve">         </w:t>
      </w:r>
      <w:r w:rsidR="0087457D">
        <w:rPr>
          <w:rFonts w:ascii="Verdana" w:hAnsi="Verdana"/>
          <w:sz w:val="16"/>
          <w:szCs w:val="16"/>
        </w:rPr>
        <w:t xml:space="preserve">Für </w:t>
      </w:r>
      <w:r w:rsidR="002B29A0" w:rsidRPr="0087457D">
        <w:rPr>
          <w:rFonts w:ascii="Verdana" w:hAnsi="Verdana"/>
          <w:sz w:val="16"/>
          <w:szCs w:val="16"/>
        </w:rPr>
        <w:t>Schüler</w:t>
      </w:r>
      <w:r w:rsidR="0087457D">
        <w:rPr>
          <w:rFonts w:ascii="Verdana" w:hAnsi="Verdana"/>
          <w:sz w:val="16"/>
          <w:szCs w:val="16"/>
        </w:rPr>
        <w:t>/Innen</w:t>
      </w:r>
      <w:r w:rsidR="002B29A0" w:rsidRPr="0087457D">
        <w:rPr>
          <w:rFonts w:ascii="Verdana" w:hAnsi="Verdana"/>
          <w:sz w:val="16"/>
          <w:szCs w:val="16"/>
        </w:rPr>
        <w:t xml:space="preserve"> verboten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 w:rsidP="009E35F4">
      <w:pPr>
        <w:outlineLvl w:val="0"/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701"/>
        <w:gridCol w:w="1134"/>
        <w:gridCol w:w="850"/>
        <w:gridCol w:w="1985"/>
        <w:gridCol w:w="1643"/>
      </w:tblGrid>
      <w:tr w:rsidR="00B81B2E" w:rsidTr="00197B7E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B81B2E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E91585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5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197B7E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B81B2E" w:rsidRPr="00AC60B9" w:rsidTr="00197B7E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Pr="00AC60B9" w:rsidRDefault="006C1C9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Kieselgur</w:t>
            </w:r>
          </w:p>
        </w:tc>
        <w:tc>
          <w:tcPr>
            <w:tcW w:w="1276" w:type="dxa"/>
          </w:tcPr>
          <w:p w:rsidR="00DC32FF" w:rsidRPr="008E2D2E" w:rsidRDefault="006C1C98">
            <w:pPr>
              <w:cnfStyle w:val="000000100000"/>
              <w:rPr>
                <w:rFonts w:ascii="Verdana" w:hAnsi="Verdana"/>
                <w:color w:val="7030A0"/>
              </w:rPr>
            </w:pPr>
            <w:r w:rsidRPr="008E2D2E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71120</wp:posOffset>
                  </wp:positionV>
                  <wp:extent cx="321310" cy="323850"/>
                  <wp:effectExtent l="19050" t="0" r="2540" b="0"/>
                  <wp:wrapNone/>
                  <wp:docPr id="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H373</w:t>
            </w:r>
          </w:p>
        </w:tc>
        <w:tc>
          <w:tcPr>
            <w:tcW w:w="850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A469AE">
              <w:rPr>
                <w:rFonts w:ascii="Verdana" w:hAnsi="Verdana"/>
                <w:sz w:val="16"/>
                <w:szCs w:val="16"/>
              </w:rPr>
              <w:t>_s</w:t>
            </w:r>
          </w:p>
        </w:tc>
        <w:tc>
          <w:tcPr>
            <w:tcW w:w="1643" w:type="dxa"/>
          </w:tcPr>
          <w:p w:rsidR="00DC32FF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0,3 A</w:t>
            </w:r>
          </w:p>
          <w:p w:rsidR="006C1C98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(alveolargängige</w:t>
            </w:r>
          </w:p>
          <w:p w:rsidR="006C1C98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Fraktion)</w:t>
            </w:r>
          </w:p>
        </w:tc>
      </w:tr>
      <w:tr w:rsidR="006C1C98" w:rsidRPr="00AC60B9" w:rsidTr="00197B7E">
        <w:trPr>
          <w:trHeight w:val="794"/>
        </w:trPr>
        <w:tc>
          <w:tcPr>
            <w:cnfStyle w:val="001000000000"/>
            <w:tcW w:w="2093" w:type="dxa"/>
          </w:tcPr>
          <w:p w:rsidR="006C1C98" w:rsidRDefault="006C1C98" w:rsidP="00D71A5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Magnesium</w:t>
            </w:r>
          </w:p>
          <w:p w:rsidR="006C1C98" w:rsidRPr="0087457D" w:rsidRDefault="006C1C98" w:rsidP="00D71A5E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7457D">
              <w:rPr>
                <w:rFonts w:ascii="Verdana" w:hAnsi="Verdana"/>
                <w:b w:val="0"/>
                <w:sz w:val="16"/>
                <w:szCs w:val="16"/>
              </w:rPr>
              <w:t>(Pulver</w:t>
            </w:r>
            <w:r w:rsidR="00A469AE" w:rsidRPr="0087457D">
              <w:rPr>
                <w:rFonts w:ascii="Verdana" w:hAnsi="Verdana"/>
                <w:b w:val="0"/>
                <w:sz w:val="16"/>
                <w:szCs w:val="16"/>
              </w:rPr>
              <w:t>, phlegmatisiert</w:t>
            </w:r>
            <w:r w:rsidRPr="0087457D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C1C98" w:rsidRPr="006C1C98" w:rsidRDefault="006C1C98" w:rsidP="00D71A5E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80645</wp:posOffset>
                  </wp:positionV>
                  <wp:extent cx="321310" cy="323850"/>
                  <wp:effectExtent l="19050" t="0" r="2540" b="0"/>
                  <wp:wrapNone/>
                  <wp:docPr id="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H251 H261</w:t>
            </w:r>
          </w:p>
        </w:tc>
        <w:tc>
          <w:tcPr>
            <w:tcW w:w="850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6C1C98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</w:t>
            </w:r>
          </w:p>
          <w:p w:rsidR="006C1C98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P231+232</w:t>
            </w:r>
          </w:p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P241 P280 P420</w:t>
            </w:r>
          </w:p>
        </w:tc>
        <w:tc>
          <w:tcPr>
            <w:tcW w:w="1643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179B2" w:rsidRPr="00AC60B9" w:rsidTr="00197B7E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6C1C98" w:rsidRPr="00AC60B9" w:rsidRDefault="006C1C9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Phosphor, rot </w:t>
            </w:r>
            <w:r w:rsidRPr="0087457D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94615</wp:posOffset>
                  </wp:positionV>
                  <wp:extent cx="321310" cy="323850"/>
                  <wp:effectExtent l="19050" t="0" r="2540" b="0"/>
                  <wp:wrapNone/>
                  <wp:docPr id="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H412</w:t>
            </w:r>
          </w:p>
        </w:tc>
        <w:tc>
          <w:tcPr>
            <w:tcW w:w="850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P273</w:t>
            </w:r>
          </w:p>
        </w:tc>
        <w:tc>
          <w:tcPr>
            <w:tcW w:w="1643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179B2" w:rsidRPr="00AC60B9" w:rsidTr="00197B7E">
        <w:trPr>
          <w:trHeight w:val="1077"/>
        </w:trPr>
        <w:tc>
          <w:tcPr>
            <w:cnfStyle w:val="001000000000"/>
            <w:tcW w:w="2093" w:type="dxa"/>
          </w:tcPr>
          <w:p w:rsidR="00DC32FF" w:rsidRDefault="006C1C9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Phosphor, gelb</w:t>
            </w:r>
          </w:p>
          <w:p w:rsidR="006C1C98" w:rsidRPr="0087457D" w:rsidRDefault="006C1C9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7457D">
              <w:rPr>
                <w:rFonts w:ascii="Verdana" w:hAnsi="Verdana"/>
                <w:b w:val="0"/>
                <w:sz w:val="16"/>
                <w:szCs w:val="16"/>
              </w:rPr>
              <w:t>(Reaktions</w:t>
            </w:r>
            <w:r w:rsidR="00B81B2E" w:rsidRPr="0087457D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87457D">
              <w:rPr>
                <w:rFonts w:ascii="Verdana" w:hAnsi="Verdana"/>
                <w:b w:val="0"/>
                <w:sz w:val="16"/>
                <w:szCs w:val="16"/>
              </w:rPr>
              <w:t>rodukt</w:t>
            </w:r>
            <w:r w:rsidR="00B81B2E" w:rsidRPr="0087457D">
              <w:rPr>
                <w:rFonts w:ascii="Verdana" w:hAnsi="Verdana"/>
                <w:b w:val="0"/>
                <w:sz w:val="16"/>
                <w:szCs w:val="16"/>
              </w:rPr>
              <w:t>, Spuren</w:t>
            </w:r>
            <w:r w:rsidRPr="0087457D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C32FF" w:rsidRPr="006C1C98" w:rsidRDefault="006C1C98">
            <w:pPr>
              <w:cnfStyle w:val="000000000000"/>
              <w:rPr>
                <w:rFonts w:ascii="Verdana" w:hAnsi="Verdana"/>
                <w:color w:val="FF0000"/>
              </w:rPr>
            </w:pPr>
            <w:r w:rsidRPr="006C1C98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5179B2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34925</wp:posOffset>
                  </wp:positionV>
                  <wp:extent cx="321310" cy="323850"/>
                  <wp:effectExtent l="19050" t="0" r="2540" b="0"/>
                  <wp:wrapNone/>
                  <wp:docPr id="1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358775</wp:posOffset>
                  </wp:positionV>
                  <wp:extent cx="321945" cy="323850"/>
                  <wp:effectExtent l="19050" t="0" r="1905" b="0"/>
                  <wp:wrapNone/>
                  <wp:docPr id="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111125</wp:posOffset>
                  </wp:positionV>
                  <wp:extent cx="321310" cy="323850"/>
                  <wp:effectExtent l="19050" t="0" r="2540" b="0"/>
                  <wp:wrapNone/>
                  <wp:docPr id="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598170</wp:posOffset>
                  </wp:positionH>
                  <wp:positionV relativeFrom="margin">
                    <wp:posOffset>111125</wp:posOffset>
                  </wp:positionV>
                  <wp:extent cx="321310" cy="323850"/>
                  <wp:effectExtent l="19050" t="0" r="2540" b="0"/>
                  <wp:wrapNone/>
                  <wp:docPr id="9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5179B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H250 H</w:t>
            </w:r>
            <w:r w:rsidR="00A469AE">
              <w:rPr>
                <w:rFonts w:ascii="Verdana" w:hAnsi="Verdana"/>
                <w:sz w:val="16"/>
                <w:szCs w:val="16"/>
              </w:rPr>
              <w:t xml:space="preserve">300+330 </w:t>
            </w:r>
            <w:r>
              <w:rPr>
                <w:rFonts w:ascii="Verdana" w:hAnsi="Verdana"/>
                <w:sz w:val="16"/>
                <w:szCs w:val="16"/>
              </w:rPr>
              <w:t>H314 H400</w:t>
            </w:r>
          </w:p>
        </w:tc>
        <w:tc>
          <w:tcPr>
            <w:tcW w:w="850" w:type="dxa"/>
          </w:tcPr>
          <w:p w:rsidR="00DC32FF" w:rsidRPr="00AC60B9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B81B2E" w:rsidRPr="00E91585" w:rsidRDefault="00197B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 xml:space="preserve">P210 P222 P260 P271 P273 P280 </w:t>
            </w:r>
          </w:p>
          <w:p w:rsidR="00B81B2E" w:rsidRPr="00E91585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B81B2E" w:rsidRPr="00E91585" w:rsidRDefault="00197B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P305+351+3</w:t>
            </w:r>
            <w:r w:rsidR="00B81B2E" w:rsidRPr="00E91585">
              <w:rPr>
                <w:rFonts w:ascii="Verdana" w:hAnsi="Verdana"/>
                <w:sz w:val="16"/>
                <w:szCs w:val="16"/>
              </w:rPr>
              <w:t>3</w:t>
            </w:r>
            <w:r w:rsidRPr="00E91585">
              <w:rPr>
                <w:rFonts w:ascii="Verdana" w:hAnsi="Verdana"/>
                <w:sz w:val="16"/>
                <w:szCs w:val="16"/>
              </w:rPr>
              <w:t>8</w:t>
            </w:r>
          </w:p>
          <w:p w:rsidR="00B81B2E" w:rsidRPr="00E91585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P304+340</w:t>
            </w:r>
          </w:p>
          <w:p w:rsidR="00B81B2E" w:rsidRPr="00E91585" w:rsidRDefault="00197B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</w:t>
            </w:r>
            <w:r w:rsidR="00357F2E" w:rsidRPr="00E91585">
              <w:rPr>
                <w:rFonts w:ascii="Verdana" w:hAnsi="Verdana"/>
                <w:sz w:val="16"/>
                <w:szCs w:val="16"/>
              </w:rPr>
              <w:t>301+</w:t>
            </w:r>
            <w:r w:rsidRPr="00E91585">
              <w:rPr>
                <w:rFonts w:ascii="Verdana" w:hAnsi="Verdana"/>
                <w:sz w:val="16"/>
                <w:szCs w:val="16"/>
              </w:rPr>
              <w:t>310 P330</w:t>
            </w:r>
            <w:r w:rsidR="00B81B2E"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643" w:type="dxa"/>
          </w:tcPr>
          <w:p w:rsidR="00DC32FF" w:rsidRPr="00AC60B9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179B2" w:rsidRPr="00AC60B9" w:rsidTr="00197B7E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Default="00B81B2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Calciumphosphid</w:t>
            </w:r>
          </w:p>
          <w:p w:rsidR="00B81B2E" w:rsidRPr="00197B7E" w:rsidRDefault="00B81B2E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197B7E">
              <w:rPr>
                <w:rFonts w:ascii="Verdana" w:hAnsi="Verdana"/>
                <w:b w:val="0"/>
                <w:sz w:val="18"/>
                <w:szCs w:val="18"/>
              </w:rPr>
              <w:t>(Reaktionsprodukt</w:t>
            </w:r>
            <w:r w:rsidR="00197B7E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</w:rPr>
            </w:pPr>
            <w:r w:rsidRPr="006C1C98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605155</wp:posOffset>
                  </wp:positionH>
                  <wp:positionV relativeFrom="margin">
                    <wp:posOffset>100965</wp:posOffset>
                  </wp:positionV>
                  <wp:extent cx="321310" cy="323850"/>
                  <wp:effectExtent l="19050" t="0" r="2540" b="0"/>
                  <wp:wrapNone/>
                  <wp:docPr id="13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281305</wp:posOffset>
                  </wp:positionH>
                  <wp:positionV relativeFrom="margin">
                    <wp:posOffset>100965</wp:posOffset>
                  </wp:positionV>
                  <wp:extent cx="321945" cy="323850"/>
                  <wp:effectExtent l="19050" t="0" r="1905" b="0"/>
                  <wp:wrapNone/>
                  <wp:docPr id="1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100965</wp:posOffset>
                  </wp:positionV>
                  <wp:extent cx="321310" cy="323850"/>
                  <wp:effectExtent l="19050" t="0" r="2540" b="0"/>
                  <wp:wrapNone/>
                  <wp:docPr id="12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H260 H300 H400</w:t>
            </w:r>
          </w:p>
        </w:tc>
        <w:tc>
          <w:tcPr>
            <w:tcW w:w="850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029</w:t>
            </w:r>
          </w:p>
        </w:tc>
        <w:tc>
          <w:tcPr>
            <w:tcW w:w="1985" w:type="dxa"/>
          </w:tcPr>
          <w:p w:rsidR="00DC32FF" w:rsidRDefault="00197B7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</w:t>
            </w:r>
            <w:r w:rsidR="00B81B2E">
              <w:rPr>
                <w:rFonts w:ascii="Verdana" w:hAnsi="Verdana"/>
                <w:sz w:val="16"/>
                <w:szCs w:val="16"/>
              </w:rPr>
              <w:t>3 P231+232</w:t>
            </w:r>
          </w:p>
          <w:p w:rsidR="00B81B2E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 P273</w:t>
            </w:r>
            <w:r w:rsidR="000866B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P301+310</w:t>
            </w:r>
          </w:p>
          <w:p w:rsidR="00B81B2E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P370+378</w:t>
            </w:r>
            <w:r w:rsidR="00067631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643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81B2E" w:rsidRPr="00AC60B9" w:rsidTr="00197B7E">
        <w:trPr>
          <w:trHeight w:val="794"/>
        </w:trPr>
        <w:tc>
          <w:tcPr>
            <w:cnfStyle w:val="001000000000"/>
            <w:tcW w:w="2093" w:type="dxa"/>
          </w:tcPr>
          <w:p w:rsidR="00B81B2E" w:rsidRDefault="008E2D2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Phosphor</w:t>
            </w:r>
            <w:r w:rsidR="00B81B2E">
              <w:rPr>
                <w:rFonts w:ascii="Verdana" w:hAnsi="Verdana"/>
                <w:b w:val="0"/>
              </w:rPr>
              <w:t>(V)oxid</w:t>
            </w:r>
          </w:p>
          <w:p w:rsidR="002B29A0" w:rsidRPr="0087457D" w:rsidRDefault="002B29A0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7457D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B81B2E" w:rsidRPr="006C1C98" w:rsidRDefault="00B81B2E">
            <w:pPr>
              <w:cnfStyle w:val="000000000000"/>
              <w:rPr>
                <w:rFonts w:ascii="Verdana" w:hAnsi="Verdana"/>
                <w:color w:val="FF0000"/>
              </w:rPr>
            </w:pPr>
            <w:r w:rsidRPr="006C1C98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B81B2E" w:rsidRDefault="00B81B2E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271780</wp:posOffset>
                  </wp:positionH>
                  <wp:positionV relativeFrom="margin">
                    <wp:posOffset>79375</wp:posOffset>
                  </wp:positionV>
                  <wp:extent cx="321310" cy="323850"/>
                  <wp:effectExtent l="19050" t="0" r="2540" b="0"/>
                  <wp:wrapNone/>
                  <wp:docPr id="1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850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E91585">
              <w:rPr>
                <w:rFonts w:ascii="Verdana" w:hAnsi="Verdana"/>
                <w:sz w:val="16"/>
                <w:szCs w:val="16"/>
              </w:rPr>
              <w:t>_s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97B7E">
              <w:rPr>
                <w:rFonts w:ascii="Verdana" w:hAnsi="Verdana"/>
                <w:sz w:val="16"/>
                <w:szCs w:val="16"/>
              </w:rPr>
              <w:t xml:space="preserve"> P280 </w:t>
            </w: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2B29A0" w:rsidRDefault="002B29A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P305+351+338 </w:t>
            </w:r>
          </w:p>
        </w:tc>
        <w:tc>
          <w:tcPr>
            <w:tcW w:w="1643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 w:rsidP="009E35F4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B81B2E" w:rsidRPr="00B81B2E">
        <w:rPr>
          <w:rFonts w:ascii="Verdana" w:hAnsi="Verdana"/>
          <w:noProof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2B29A0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87457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Tri-Calciumphosphat</w:t>
            </w:r>
          </w:p>
        </w:tc>
      </w:tr>
      <w:tr w:rsidR="002B29A0" w:rsidTr="002B29A0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2B29A0" w:rsidRDefault="002B29A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Glaswolle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2B29A0" w:rsidRDefault="002B29A0">
      <w:pPr>
        <w:rPr>
          <w:rFonts w:ascii="Verdana" w:hAnsi="Verdana"/>
          <w:b/>
        </w:rPr>
      </w:pPr>
    </w:p>
    <w:p w:rsidR="0087457D" w:rsidRDefault="0087457D">
      <w:pPr>
        <w:rPr>
          <w:rFonts w:ascii="Verdana" w:hAnsi="Verdana"/>
          <w:b/>
        </w:rPr>
      </w:pPr>
    </w:p>
    <w:p w:rsidR="00624D80" w:rsidRPr="00094BA1" w:rsidRDefault="001653C7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2B29A0" w:rsidRPr="000E2204" w:rsidRDefault="0087457D" w:rsidP="00197B7E">
      <w:pPr>
        <w:pStyle w:val="Textkrper2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g Calciumphosphat, 0,5 g Magnesium und 0,</w:t>
      </w:r>
      <w:r w:rsidRPr="000E2204">
        <w:rPr>
          <w:rFonts w:ascii="Verdana" w:hAnsi="Verdana"/>
          <w:sz w:val="20"/>
          <w:szCs w:val="20"/>
        </w:rPr>
        <w:t>5 g Kieselgur</w:t>
      </w:r>
      <w:r>
        <w:rPr>
          <w:rFonts w:ascii="Verdana" w:hAnsi="Verdana"/>
          <w:sz w:val="20"/>
          <w:szCs w:val="20"/>
        </w:rPr>
        <w:t xml:space="preserve"> (</w:t>
      </w:r>
      <w:r w:rsidRPr="000E2204">
        <w:rPr>
          <w:rFonts w:ascii="Verdana" w:hAnsi="Verdana"/>
          <w:sz w:val="20"/>
          <w:szCs w:val="20"/>
        </w:rPr>
        <w:t>zur Vers</w:t>
      </w:r>
      <w:r>
        <w:rPr>
          <w:rFonts w:ascii="Verdana" w:hAnsi="Verdana"/>
          <w:sz w:val="20"/>
          <w:szCs w:val="20"/>
        </w:rPr>
        <w:t>chlackung sich bildender</w:t>
      </w:r>
      <w:r w:rsidRPr="000E2204">
        <w:rPr>
          <w:rFonts w:ascii="Verdana" w:hAnsi="Verdana"/>
          <w:sz w:val="20"/>
          <w:szCs w:val="20"/>
        </w:rPr>
        <w:t xml:space="preserve"> Erdalkalimetalloxide)</w:t>
      </w:r>
      <w:r>
        <w:rPr>
          <w:rFonts w:ascii="Verdana" w:hAnsi="Verdana"/>
          <w:sz w:val="20"/>
          <w:szCs w:val="20"/>
        </w:rPr>
        <w:t xml:space="preserve"> werden</w:t>
      </w:r>
      <w:r w:rsidR="002B29A0" w:rsidRPr="000E2204">
        <w:rPr>
          <w:rFonts w:ascii="Verdana" w:hAnsi="Verdana"/>
          <w:sz w:val="20"/>
          <w:szCs w:val="20"/>
        </w:rPr>
        <w:t xml:space="preserve"> in ein </w:t>
      </w:r>
      <w:r w:rsidR="002B29A0">
        <w:rPr>
          <w:rFonts w:ascii="Verdana" w:hAnsi="Verdana"/>
          <w:sz w:val="20"/>
          <w:szCs w:val="20"/>
        </w:rPr>
        <w:t xml:space="preserve">weitlumiges (d = 30mm) und langes (l = 500 mm) </w:t>
      </w:r>
      <w:r w:rsidR="002B29A0" w:rsidRPr="000E2204">
        <w:rPr>
          <w:rFonts w:ascii="Verdana" w:hAnsi="Verdana"/>
          <w:sz w:val="20"/>
          <w:szCs w:val="20"/>
        </w:rPr>
        <w:t>schwer schmelzbares Reagenzgl</w:t>
      </w:r>
      <w:r>
        <w:rPr>
          <w:rFonts w:ascii="Verdana" w:hAnsi="Verdana"/>
          <w:sz w:val="20"/>
          <w:szCs w:val="20"/>
        </w:rPr>
        <w:t>as gegeben</w:t>
      </w:r>
      <w:r w:rsidR="002B29A0" w:rsidRPr="000E2204">
        <w:rPr>
          <w:rFonts w:ascii="Verdana" w:hAnsi="Verdana"/>
          <w:sz w:val="20"/>
          <w:szCs w:val="20"/>
        </w:rPr>
        <w:t>. Dieses Reagenzglas wird mit einem Bausch Glaswolle verschlossen und dann im abgedunkelten Raum erhi</w:t>
      </w:r>
      <w:r w:rsidR="002B29A0">
        <w:rPr>
          <w:rFonts w:ascii="Verdana" w:hAnsi="Verdana"/>
          <w:sz w:val="20"/>
          <w:szCs w:val="20"/>
        </w:rPr>
        <w:t>tzt. Das Gemisch reagiert</w:t>
      </w:r>
      <w:r w:rsidR="002B29A0" w:rsidRPr="000E2204">
        <w:rPr>
          <w:rFonts w:ascii="Verdana" w:hAnsi="Verdana"/>
          <w:sz w:val="20"/>
          <w:szCs w:val="20"/>
        </w:rPr>
        <w:t xml:space="preserve"> mi</w:t>
      </w:r>
      <w:r w:rsidR="002B29A0">
        <w:rPr>
          <w:rFonts w:ascii="Verdana" w:hAnsi="Verdana"/>
          <w:sz w:val="20"/>
          <w:szCs w:val="20"/>
        </w:rPr>
        <w:t>t einem sehr heftigen Aufglühen</w:t>
      </w:r>
      <w:r w:rsidR="002B29A0" w:rsidRPr="000E2204">
        <w:rPr>
          <w:rFonts w:ascii="Verdana" w:hAnsi="Verdana"/>
          <w:sz w:val="20"/>
          <w:szCs w:val="20"/>
        </w:rPr>
        <w:t>. An den kalten Teilen des Reagenzglases und an der Glaswolle schlägt sich elementarer Phosphor nieder</w:t>
      </w:r>
      <w:r w:rsidR="002B29A0">
        <w:rPr>
          <w:rFonts w:ascii="Verdana" w:hAnsi="Verdana"/>
          <w:sz w:val="20"/>
          <w:szCs w:val="20"/>
        </w:rPr>
        <w:t>.</w:t>
      </w:r>
    </w:p>
    <w:p w:rsidR="00624D80" w:rsidRPr="00A33993" w:rsidRDefault="0087457D" w:rsidP="00197B7E">
      <w:pPr>
        <w:jc w:val="both"/>
        <w:rPr>
          <w:rFonts w:ascii="Arial" w:hAnsi="Arial"/>
        </w:rPr>
      </w:pPr>
      <w:r>
        <w:rPr>
          <w:rFonts w:ascii="Verdana" w:hAnsi="Verdana"/>
          <w:i/>
          <w:iCs/>
        </w:rPr>
        <w:t xml:space="preserve">Nach </w:t>
      </w:r>
      <w:r w:rsidR="002B29A0" w:rsidRPr="000E2204">
        <w:rPr>
          <w:rFonts w:ascii="Verdana" w:hAnsi="Verdana"/>
          <w:i/>
          <w:iCs/>
        </w:rPr>
        <w:t xml:space="preserve">Abschluss des Versuches </w:t>
      </w:r>
      <w:r>
        <w:rPr>
          <w:rFonts w:ascii="Verdana" w:hAnsi="Verdana"/>
          <w:i/>
          <w:iCs/>
        </w:rPr>
        <w:t xml:space="preserve">wird </w:t>
      </w:r>
      <w:r w:rsidR="002B29A0" w:rsidRPr="000E2204">
        <w:rPr>
          <w:rFonts w:ascii="Verdana" w:hAnsi="Verdana"/>
          <w:i/>
          <w:iCs/>
        </w:rPr>
        <w:t>das schwach bläuliche Leuchten des an der Luft oxid</w:t>
      </w:r>
      <w:r>
        <w:rPr>
          <w:rFonts w:ascii="Verdana" w:hAnsi="Verdana"/>
          <w:i/>
          <w:iCs/>
        </w:rPr>
        <w:t>ierenden Phosphors demonstriert, wozu</w:t>
      </w:r>
      <w:r w:rsidR="002B29A0" w:rsidRPr="000E2204">
        <w:rPr>
          <w:rFonts w:ascii="Verdana" w:hAnsi="Verdana"/>
          <w:i/>
          <w:iCs/>
        </w:rPr>
        <w:t xml:space="preserve"> ein ganz abgedunkelter Raum nöti</w:t>
      </w:r>
      <w:r w:rsidR="002B29A0">
        <w:rPr>
          <w:rFonts w:ascii="Verdana" w:hAnsi="Verdana"/>
          <w:i/>
          <w:iCs/>
        </w:rPr>
        <w:t>g ist</w:t>
      </w:r>
      <w:r w:rsidR="002B29A0" w:rsidRPr="000E2204">
        <w:rPr>
          <w:rFonts w:ascii="Verdana" w:hAnsi="Verdana"/>
          <w:i/>
          <w:iCs/>
        </w:rPr>
        <w:t>.</w:t>
      </w:r>
    </w:p>
    <w:p w:rsidR="00907BD8" w:rsidRPr="00A33993" w:rsidRDefault="00907BD8" w:rsidP="00197B7E">
      <w:pPr>
        <w:jc w:val="both"/>
        <w:rPr>
          <w:rFonts w:ascii="Arial" w:hAnsi="Arial"/>
        </w:rPr>
      </w:pPr>
    </w:p>
    <w:p w:rsidR="00624D80" w:rsidRDefault="00624D80" w:rsidP="00197B7E">
      <w:pPr>
        <w:jc w:val="both"/>
        <w:rPr>
          <w:rFonts w:ascii="Arial" w:hAnsi="Arial"/>
        </w:rPr>
      </w:pPr>
    </w:p>
    <w:p w:rsidR="00624D80" w:rsidRPr="008C7699" w:rsidRDefault="008C7699" w:rsidP="009E35F4">
      <w:pPr>
        <w:outlineLvl w:val="0"/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2B29A0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Das Reagenzglas muss genügend weitlumig sein, sonst erfolgt ein glühender Auswu</w:t>
      </w:r>
      <w:r w:rsidR="00197B7E">
        <w:rPr>
          <w:rFonts w:ascii="Verdana" w:hAnsi="Verdana"/>
          <w:i/>
        </w:rPr>
        <w:t>rf. Ist es lang genug, wird</w:t>
      </w:r>
      <w:r>
        <w:rPr>
          <w:rFonts w:ascii="Verdana" w:hAnsi="Verdana"/>
          <w:i/>
        </w:rPr>
        <w:t xml:space="preserve"> kein Phosphordampf frei.</w:t>
      </w:r>
    </w:p>
    <w:p w:rsidR="002B29A0" w:rsidRPr="002B29A0" w:rsidRDefault="002B29A0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Dennoch unbedingt im Abzug und einem geschlossenen System durchführen.</w:t>
      </w:r>
    </w:p>
    <w:p w:rsidR="002B29A0" w:rsidRDefault="002B29A0" w:rsidP="00197B7E">
      <w:pPr>
        <w:jc w:val="both"/>
        <w:rPr>
          <w:rFonts w:ascii="Verdana" w:hAnsi="Verdana"/>
          <w:b/>
        </w:rPr>
      </w:pPr>
    </w:p>
    <w:p w:rsidR="00197B7E" w:rsidRDefault="00197B7E" w:rsidP="008C7699">
      <w:pPr>
        <w:rPr>
          <w:rFonts w:ascii="Verdana" w:hAnsi="Verdana"/>
          <w:b/>
        </w:rPr>
      </w:pPr>
    </w:p>
    <w:p w:rsidR="008C7699" w:rsidRPr="00094BA1" w:rsidRDefault="008C7699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2B29A0" w:rsidRDefault="002B29A0">
      <w:pPr>
        <w:rPr>
          <w:rFonts w:ascii="Verdana" w:hAnsi="Verdana"/>
          <w:i/>
        </w:rPr>
      </w:pPr>
      <w:r>
        <w:rPr>
          <w:rFonts w:ascii="Verdana" w:hAnsi="Verdana"/>
          <w:i/>
        </w:rPr>
        <w:t>Reste im Reagenzglas im Abzug vorsichtig mit Wasser oder 10%iger Salzsäure versetzen</w:t>
      </w:r>
      <w:r w:rsidR="000D12D9">
        <w:rPr>
          <w:rFonts w:ascii="Verdana" w:hAnsi="Verdana"/>
          <w:i/>
        </w:rPr>
        <w:t xml:space="preserve"> und dann in den Sammelbehälter flüssige anorganische Abfälle geben.</w:t>
      </w:r>
    </w:p>
    <w:p w:rsidR="000D12D9" w:rsidRDefault="000D12D9">
      <w:pPr>
        <w:rPr>
          <w:rFonts w:ascii="Verdana" w:hAnsi="Verdana"/>
          <w:i/>
        </w:rPr>
      </w:pPr>
    </w:p>
    <w:p w:rsidR="000D12D9" w:rsidRPr="000D12D9" w:rsidRDefault="000D12D9">
      <w:pPr>
        <w:rPr>
          <w:rFonts w:ascii="Verdana" w:hAnsi="Verdana"/>
          <w:i/>
        </w:rPr>
      </w:pPr>
    </w:p>
    <w:p w:rsidR="00624D80" w:rsidRPr="00094BA1" w:rsidRDefault="001653C7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D12D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926E6A" w:rsidRDefault="000D12D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926E6A">
              <w:rPr>
                <w:rFonts w:ascii="Verdana" w:hAnsi="Verdana"/>
                <w:sz w:val="18"/>
                <w:szCs w:val="18"/>
              </w:rPr>
              <w:t>Reste unmittelbar nach Ende des Experiments (bzw. der Unterrichtsstunde) entsorgen; Reagenzglas nicht stehen lassen.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D12D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D12D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D12D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5B7E8E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5B7E8E" w:rsidRDefault="00926E6A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5B7E8E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5B7E8E" w:rsidRDefault="000D12D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5B7E8E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5B7E8E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5B7E8E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87457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375920</wp:posOffset>
            </wp:positionH>
            <wp:positionV relativeFrom="margin">
              <wp:posOffset>6630670</wp:posOffset>
            </wp:positionV>
            <wp:extent cx="400050" cy="400050"/>
            <wp:effectExtent l="1905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87457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5576570</wp:posOffset>
            </wp:positionH>
            <wp:positionV relativeFrom="margin">
              <wp:posOffset>6697345</wp:posOffset>
            </wp:positionV>
            <wp:extent cx="400050" cy="400050"/>
            <wp:effectExtent l="19050" t="0" r="0" b="0"/>
            <wp:wrapNone/>
            <wp:docPr id="4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3209925</wp:posOffset>
            </wp:positionH>
            <wp:positionV relativeFrom="margin">
              <wp:posOffset>6697345</wp:posOffset>
            </wp:positionV>
            <wp:extent cx="400050" cy="400050"/>
            <wp:effectExtent l="19050" t="0" r="0" b="0"/>
            <wp:wrapNone/>
            <wp:docPr id="16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1647825</wp:posOffset>
            </wp:positionH>
            <wp:positionV relativeFrom="margin">
              <wp:posOffset>6664325</wp:posOffset>
            </wp:positionV>
            <wp:extent cx="400050" cy="400050"/>
            <wp:effectExtent l="19050" t="0" r="0" b="0"/>
            <wp:wrapNone/>
            <wp:docPr id="15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0D12D9" w:rsidRDefault="000D12D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Schutzbrille       Schutzhandschuhe     Abzug (auch bei Entsorgung)              Geschlossenes System</w:t>
      </w:r>
    </w:p>
    <w:p w:rsidR="00382839" w:rsidRDefault="00382839">
      <w:pPr>
        <w:rPr>
          <w:rFonts w:ascii="Verdana" w:hAnsi="Verdana"/>
          <w:b/>
        </w:rPr>
      </w:pPr>
    </w:p>
    <w:p w:rsidR="000D12D9" w:rsidRDefault="000D12D9">
      <w:pPr>
        <w:rPr>
          <w:rFonts w:ascii="Verdana" w:hAnsi="Verdana"/>
          <w:b/>
        </w:rPr>
      </w:pPr>
    </w:p>
    <w:p w:rsidR="000D12D9" w:rsidRDefault="000D12D9">
      <w:pPr>
        <w:rPr>
          <w:rFonts w:ascii="Verdana" w:hAnsi="Verdana"/>
          <w:b/>
        </w:rPr>
      </w:pPr>
    </w:p>
    <w:p w:rsidR="00624D80" w:rsidRPr="00015609" w:rsidRDefault="00D65C9C" w:rsidP="009E35F4">
      <w:pPr>
        <w:outlineLvl w:val="0"/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0D12D9" w:rsidRDefault="000D12D9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Phosphor wird vor allem als roter Phosphor frei, der </w:t>
      </w:r>
      <w:r w:rsidR="008E2D2E">
        <w:rPr>
          <w:rFonts w:ascii="Verdana" w:hAnsi="Verdana"/>
          <w:i/>
        </w:rPr>
        <w:t>weiße</w:t>
      </w:r>
      <w:r>
        <w:rPr>
          <w:rFonts w:ascii="Verdana" w:hAnsi="Verdana"/>
          <w:i/>
        </w:rPr>
        <w:t xml:space="preserve"> Pho</w:t>
      </w:r>
      <w:r w:rsidR="003767FF">
        <w:rPr>
          <w:rFonts w:ascii="Verdana" w:hAnsi="Verdana"/>
          <w:i/>
        </w:rPr>
        <w:t>sphor, der in Spuren entsteht</w:t>
      </w:r>
      <w:r>
        <w:rPr>
          <w:rFonts w:ascii="Verdana" w:hAnsi="Verdana"/>
          <w:i/>
        </w:rPr>
        <w:t xml:space="preserve">, reagiert im Reagenzglas zu Diphosphorpentoxid mit dem typischen Leuchten (Phosphoreszieren). </w:t>
      </w:r>
    </w:p>
    <w:p w:rsidR="00624D80" w:rsidRPr="0087457D" w:rsidRDefault="000D12D9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Unter den </w:t>
      </w:r>
      <w:r w:rsidR="003767FF">
        <w:rPr>
          <w:rFonts w:ascii="Verdana" w:hAnsi="Verdana"/>
          <w:i/>
        </w:rPr>
        <w:t>gewählten Versuchsbedingungen we</w:t>
      </w:r>
      <w:r>
        <w:rPr>
          <w:rFonts w:ascii="Verdana" w:hAnsi="Verdana"/>
          <w:i/>
        </w:rPr>
        <w:t>rd</w:t>
      </w:r>
      <w:r w:rsidR="003767FF">
        <w:rPr>
          <w:rFonts w:ascii="Verdana" w:hAnsi="Verdana"/>
          <w:i/>
        </w:rPr>
        <w:t>en</w:t>
      </w:r>
      <w:r>
        <w:rPr>
          <w:rFonts w:ascii="Verdana" w:hAnsi="Verdana"/>
          <w:i/>
        </w:rPr>
        <w:t xml:space="preserve"> kein Phosphordampf und kein Phosphan freigesetzt, zudem wird im Abzug und einem geschlossenen System gearbeitet.</w:t>
      </w:r>
    </w:p>
    <w:p w:rsidR="00A33993" w:rsidRPr="00A33993" w:rsidRDefault="00A33993" w:rsidP="00197B7E">
      <w:pPr>
        <w:jc w:val="both"/>
        <w:rPr>
          <w:rFonts w:ascii="Arial" w:hAnsi="Arial"/>
        </w:rPr>
      </w:pPr>
    </w:p>
    <w:p w:rsidR="00624D80" w:rsidRDefault="009E35F4" w:rsidP="009E35F4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357F2E" w:rsidRDefault="00357F2E" w:rsidP="00357F2E">
      <w:pPr>
        <w:jc w:val="both"/>
        <w:rPr>
          <w:rFonts w:ascii="Verdana" w:hAnsi="Verdana"/>
          <w:sz w:val="16"/>
          <w:szCs w:val="16"/>
          <w:lang w:val="de-CH" w:eastAsia="zh-CN"/>
        </w:rPr>
      </w:pPr>
    </w:p>
    <w:p w:rsidR="000866BA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H228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0866BA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H250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Entzündet sich in Berührung mit Luft von selbst.</w:t>
      </w:r>
    </w:p>
    <w:p w:rsidR="000866BA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H251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Selbsterhitzungsfähig, kann sich selbst erhitzen; kann in Brand geraten.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H260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In Berührung mit Wasser entstehen entzündbare Gase, die sich spontan entzünden können.</w:t>
      </w:r>
    </w:p>
    <w:p w:rsidR="009E35F4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H261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In Berührung mit Wasser entstehen entzündbare Gase.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H300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Lebensgefährlich bei Verschlucken.</w:t>
      </w:r>
    </w:p>
    <w:p w:rsidR="009E35F4" w:rsidRPr="00926E6A" w:rsidRDefault="00067631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H300+</w:t>
      </w:r>
      <w:r w:rsidR="009E35F4" w:rsidRPr="00926E6A">
        <w:rPr>
          <w:rFonts w:ascii="Verdana" w:hAnsi="Verdana"/>
          <w:sz w:val="16"/>
          <w:szCs w:val="16"/>
          <w:lang w:eastAsia="zh-CN"/>
        </w:rPr>
        <w:t>330</w:t>
      </w:r>
      <w:r w:rsidR="000866BA" w:rsidRPr="00926E6A">
        <w:rPr>
          <w:rFonts w:ascii="Verdana" w:hAnsi="Verdana"/>
          <w:sz w:val="16"/>
          <w:szCs w:val="16"/>
          <w:lang w:eastAsia="zh-CN"/>
        </w:rPr>
        <w:tab/>
      </w:r>
      <w:r w:rsidR="009E35F4" w:rsidRPr="00926E6A">
        <w:rPr>
          <w:rFonts w:ascii="Verdana" w:hAnsi="Verdana"/>
          <w:sz w:val="16"/>
          <w:szCs w:val="16"/>
          <w:lang w:eastAsia="zh-CN"/>
        </w:rPr>
        <w:t>Lebensgefahr bei Verschlucken oder Einatmen.</w:t>
      </w:r>
    </w:p>
    <w:p w:rsidR="009E35F4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H314</w:t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H373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Kann die Organe schädigen bei längerer oder wiederholter Einatmung von Aerosol.</w:t>
      </w:r>
    </w:p>
    <w:p w:rsidR="009E35F4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H400</w:t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H412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Schädlich für Wasserorganismen, mit langfristiger Wirkung.</w:t>
      </w:r>
    </w:p>
    <w:p w:rsidR="009E35F4" w:rsidRDefault="009E35F4" w:rsidP="00926E6A">
      <w:pPr>
        <w:pBdr>
          <w:between w:val="single" w:sz="4" w:space="1" w:color="auto"/>
          <w:bar w:val="single" w:sz="4" w:color="auto"/>
        </w:pBdr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</w:p>
    <w:p w:rsidR="00926E6A" w:rsidRDefault="00926E6A" w:rsidP="0087457D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EUH029</w:t>
      </w:r>
      <w:r w:rsidR="00E91585">
        <w:rPr>
          <w:rFonts w:ascii="Verdana" w:hAnsi="Verdana"/>
          <w:sz w:val="16"/>
          <w:szCs w:val="16"/>
          <w:lang w:eastAsia="zh-CN"/>
        </w:rPr>
        <w:tab/>
      </w:r>
      <w:r w:rsidR="00E91585">
        <w:rPr>
          <w:rFonts w:ascii="Verdana" w:hAnsi="Verdana"/>
          <w:sz w:val="16"/>
          <w:szCs w:val="16"/>
          <w:lang w:eastAsia="zh-CN"/>
        </w:rPr>
        <w:tab/>
      </w:r>
      <w:r w:rsidR="00E91585" w:rsidRPr="00693B6E">
        <w:rPr>
          <w:rFonts w:ascii="Verdana" w:hAnsi="Verdana"/>
          <w:sz w:val="16"/>
          <w:szCs w:val="16"/>
          <w:lang w:eastAsia="zh-CN"/>
        </w:rPr>
        <w:t>Entwickelt bei Berührung mit Wasser giftige Gase.</w:t>
      </w:r>
    </w:p>
    <w:p w:rsidR="00926E6A" w:rsidRPr="00926E6A" w:rsidRDefault="00926E6A" w:rsidP="00926E6A">
      <w:pPr>
        <w:pBdr>
          <w:between w:val="single" w:sz="4" w:space="1" w:color="auto"/>
          <w:bar w:val="single" w:sz="4" w:color="auto"/>
        </w:pBdr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</w:p>
    <w:p w:rsidR="00357F2E" w:rsidRPr="00926E6A" w:rsidRDefault="00926E6A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1410" w:right="-24" w:hanging="1552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 w:eastAsia="zh-CN"/>
        </w:rPr>
        <w:t xml:space="preserve">  </w:t>
      </w:r>
      <w:r w:rsidR="00357F2E" w:rsidRPr="00926E6A">
        <w:rPr>
          <w:rFonts w:ascii="Verdana" w:hAnsi="Verdana"/>
          <w:sz w:val="16"/>
          <w:szCs w:val="16"/>
          <w:lang w:val="de-CH" w:eastAsia="zh-CN"/>
        </w:rPr>
        <w:t>P210</w:t>
      </w:r>
      <w:r w:rsidR="00357F2E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357F2E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357F2E" w:rsidRPr="00926E6A">
        <w:rPr>
          <w:rFonts w:ascii="Verdana" w:hAnsi="Verdana"/>
          <w:sz w:val="16"/>
          <w:szCs w:val="16"/>
          <w:lang w:eastAsia="zh-CN"/>
        </w:rPr>
        <w:t>Von Hitze, heißen Oberflächen, Funken, o</w:t>
      </w:r>
      <w:r w:rsidR="00A45D35">
        <w:rPr>
          <w:rFonts w:ascii="Verdana" w:hAnsi="Verdana"/>
          <w:sz w:val="16"/>
          <w:szCs w:val="16"/>
          <w:lang w:eastAsia="zh-CN"/>
        </w:rPr>
        <w:t xml:space="preserve">ffenen Flammen fernhalten. 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P222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Berührung mit Luft vermeiden.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P223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Keinen Kontakt mit Wasser zulassen.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P231+P232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Unter inertem Gas handhaben. Vor Feuchtigkeit schützen.</w:t>
      </w:r>
    </w:p>
    <w:p w:rsidR="00357F2E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P241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Explosionsgeschützte elektrische Anlagen/Lüftungsa</w:t>
      </w:r>
      <w:r w:rsidR="00E91585">
        <w:rPr>
          <w:rFonts w:ascii="Verdana" w:hAnsi="Verdana"/>
          <w:sz w:val="16"/>
          <w:szCs w:val="16"/>
          <w:lang w:eastAsia="zh-CN"/>
        </w:rPr>
        <w:t xml:space="preserve">nlagen/ Beleuchtungsanlagen </w:t>
      </w:r>
      <w:r w:rsidRPr="00926E6A">
        <w:rPr>
          <w:rFonts w:ascii="Verdana" w:hAnsi="Verdana"/>
          <w:sz w:val="16"/>
          <w:szCs w:val="16"/>
          <w:lang w:eastAsia="zh-CN"/>
        </w:rPr>
        <w:t>verwenden.</w:t>
      </w:r>
    </w:p>
    <w:p w:rsidR="00E91585" w:rsidRPr="00926E6A" w:rsidRDefault="00E91585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>
        <w:rPr>
          <w:rFonts w:ascii="Verdana" w:hAnsi="Verdana"/>
          <w:sz w:val="16"/>
          <w:szCs w:val="16"/>
          <w:lang w:eastAsia="zh-CN"/>
        </w:rPr>
        <w:t>P260</w:t>
      </w:r>
      <w:r w:rsidRPr="00E9158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Staub/Rauch/Gas/Nebel/Dampf/Aerosol nicht einatmen.</w:t>
      </w:r>
    </w:p>
    <w:p w:rsidR="00926E6A" w:rsidRPr="00926E6A" w:rsidRDefault="00926E6A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P260_s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="00E91585">
        <w:rPr>
          <w:rFonts w:ascii="Verdana" w:hAnsi="Verdana"/>
          <w:sz w:val="16"/>
          <w:szCs w:val="16"/>
          <w:lang w:eastAsia="zh-CN"/>
        </w:rPr>
        <w:t>Staub/Rauch/</w:t>
      </w:r>
      <w:r w:rsidRPr="00926E6A">
        <w:rPr>
          <w:rFonts w:ascii="Verdana" w:hAnsi="Verdana"/>
          <w:sz w:val="16"/>
          <w:szCs w:val="16"/>
          <w:lang w:eastAsia="zh-CN"/>
        </w:rPr>
        <w:t>Aerosol nicht einatmen.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P264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Nach Handhabung Hände gründlich waschen.</w:t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ab/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P271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Nur im Freien oder in gut belüfteten Räumen verwenden.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P273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E35F4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P280</w:t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Schutzhandschuhe/Schutzkle</w:t>
      </w:r>
      <w:r w:rsidR="00A45D35">
        <w:rPr>
          <w:rFonts w:ascii="Verdana" w:hAnsi="Verdana"/>
          <w:sz w:val="16"/>
          <w:szCs w:val="16"/>
          <w:lang w:eastAsia="zh-CN"/>
        </w:rPr>
        <w:t>idung/Augenschutz</w:t>
      </w:r>
      <w:r w:rsidRPr="00926E6A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P301+P310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Bei Verschlucken: Sofor</w:t>
      </w:r>
      <w:r w:rsidR="00926E6A" w:rsidRPr="00926E6A">
        <w:rPr>
          <w:rFonts w:ascii="Verdana" w:hAnsi="Verdana"/>
          <w:sz w:val="16"/>
          <w:szCs w:val="16"/>
          <w:lang w:eastAsia="zh-CN"/>
        </w:rPr>
        <w:t>t Giftinformationszentrum/Arzt</w:t>
      </w:r>
      <w:r w:rsidRPr="00926E6A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P301+330+331</w:t>
      </w:r>
      <w:r w:rsidRPr="00926E6A">
        <w:rPr>
          <w:rFonts w:ascii="Verdana" w:hAnsi="Verdana"/>
          <w:sz w:val="16"/>
          <w:szCs w:val="16"/>
          <w:lang w:eastAsia="zh-CN"/>
        </w:rPr>
        <w:tab/>
        <w:t>Bei Verschlucken: Mund ausspülen. Kein Erbrechen herbeiführen.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P303+361+353</w:t>
      </w:r>
      <w:r w:rsidRPr="00926E6A">
        <w:rPr>
          <w:rFonts w:ascii="Verdana" w:hAnsi="Verdana"/>
          <w:sz w:val="16"/>
          <w:szCs w:val="16"/>
          <w:lang w:eastAsia="zh-CN"/>
        </w:rPr>
        <w:tab/>
        <w:t xml:space="preserve">Bei Berührung mit der Haut (oder dem Haar): Alle kontaminierten Kleidungsstücke sofort ausziehen. Haut mit </w:t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P304+340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Bei Einatmen: Die Person an die frische Luft bringen und für ungehinderte Atmung sorgen.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P305+351+338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 xml:space="preserve">Bei Berührung mit den Augen: Einige Minuten lang vorsichtig mit Wasser ausspülen. Eventuell. vorhandene </w:t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P330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Mund ausspülen.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P370+P378</w:t>
      </w:r>
      <w:r w:rsidR="00067631">
        <w:rPr>
          <w:rFonts w:ascii="Verdana" w:hAnsi="Verdana"/>
          <w:sz w:val="16"/>
          <w:szCs w:val="16"/>
          <w:lang w:eastAsia="zh-CN"/>
        </w:rPr>
        <w:t>b</w:t>
      </w:r>
      <w:r w:rsidRPr="00926E6A">
        <w:rPr>
          <w:rFonts w:ascii="Verdana" w:hAnsi="Verdana"/>
          <w:sz w:val="16"/>
          <w:szCs w:val="16"/>
          <w:lang w:eastAsia="zh-CN"/>
        </w:rPr>
        <w:tab/>
        <w:t>Bei Brand: Löschsand zum Löschen verwenden.</w:t>
      </w:r>
    </w:p>
    <w:p w:rsidR="00624D80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P420</w:t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Von anderen Materialien entfernt aufbewahren.</w:t>
      </w:r>
    </w:p>
    <w:p w:rsidR="00015609" w:rsidRDefault="00015609" w:rsidP="00357F2E">
      <w:pPr>
        <w:jc w:val="both"/>
        <w:rPr>
          <w:rFonts w:ascii="Verdana" w:hAnsi="Verdana"/>
          <w:b/>
        </w:rPr>
      </w:pPr>
    </w:p>
    <w:p w:rsidR="00624D80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926E6A" w:rsidRDefault="00926E6A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767FF" w:rsidRDefault="003767FF">
      <w:pPr>
        <w:rPr>
          <w:rFonts w:ascii="Verdana" w:hAnsi="Verdana"/>
        </w:rPr>
      </w:pPr>
    </w:p>
    <w:p w:rsidR="003767FF" w:rsidRDefault="003767FF">
      <w:pPr>
        <w:rPr>
          <w:rFonts w:ascii="Verdana" w:hAnsi="Verdana"/>
        </w:rPr>
      </w:pPr>
    </w:p>
    <w:p w:rsidR="003767FF" w:rsidRDefault="003767FF">
      <w:pPr>
        <w:rPr>
          <w:rFonts w:ascii="Verdana" w:hAnsi="Verdana"/>
        </w:rPr>
      </w:pPr>
    </w:p>
    <w:p w:rsidR="00382839" w:rsidRDefault="00382839" w:rsidP="00357F2E">
      <w:pPr>
        <w:rPr>
          <w:rFonts w:ascii="Verdana" w:hAnsi="Verdana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382839" w:rsidRPr="00DC32FF" w:rsidRDefault="00382839" w:rsidP="00357F2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357F2E">
        <w:rPr>
          <w:rFonts w:ascii="Verdana" w:hAnsi="Verdana"/>
          <w:sz w:val="16"/>
          <w:szCs w:val="16"/>
        </w:rPr>
        <w:t xml:space="preserve"> / Ateliersc</w:t>
      </w:r>
      <w:r w:rsidR="0087457D">
        <w:rPr>
          <w:rFonts w:ascii="Verdana" w:hAnsi="Verdana"/>
          <w:sz w:val="16"/>
          <w:szCs w:val="16"/>
        </w:rPr>
        <w:t>hule Zürich / Erstelldatum 06.12</w:t>
      </w:r>
      <w:r w:rsidR="00357F2E">
        <w:rPr>
          <w:rFonts w:ascii="Verdana" w:hAnsi="Verdana"/>
          <w:sz w:val="16"/>
          <w:szCs w:val="16"/>
        </w:rPr>
        <w:t>.2015</w:t>
      </w:r>
    </w:p>
    <w:p w:rsidR="0024642C" w:rsidRPr="003767FF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3767FF" w:rsidSect="00015609">
      <w:headerReference w:type="default" r:id="rId16"/>
      <w:footerReference w:type="default" r:id="rId17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65" w:rsidRDefault="00740C65" w:rsidP="00015609">
      <w:r>
        <w:separator/>
      </w:r>
    </w:p>
  </w:endnote>
  <w:endnote w:type="continuationSeparator" w:id="0">
    <w:p w:rsidR="00740C65" w:rsidRDefault="00740C65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65" w:rsidRDefault="00740C65" w:rsidP="00015609">
      <w:r>
        <w:separator/>
      </w:r>
    </w:p>
  </w:footnote>
  <w:footnote w:type="continuationSeparator" w:id="0">
    <w:p w:rsidR="00740C65" w:rsidRDefault="00740C65" w:rsidP="00015609">
      <w:r>
        <w:continuationSeparator/>
      </w:r>
    </w:p>
  </w:footnote>
  <w:footnote w:id="1">
    <w:p w:rsidR="00B81B2E" w:rsidRPr="00B81B2E" w:rsidRDefault="00B81B2E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B81B2E">
        <w:rPr>
          <w:rStyle w:val="Funotenzeichen"/>
          <w:rFonts w:ascii="Verdana" w:hAnsi="Verdana"/>
          <w:sz w:val="16"/>
          <w:szCs w:val="16"/>
        </w:rPr>
        <w:footnoteRef/>
      </w:r>
      <w:r w:rsidRPr="00B81B2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relevante </w:t>
      </w:r>
      <w:r w:rsidRPr="00B81B2E">
        <w:rPr>
          <w:rFonts w:ascii="Verdana" w:hAnsi="Verdana"/>
          <w:sz w:val="16"/>
          <w:szCs w:val="16"/>
          <w:lang w:val="de-CH"/>
        </w:rPr>
        <w:t>Auswahl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911A2" w:rsidP="00015609">
    <w:pPr>
      <w:pStyle w:val="Kopfzeile"/>
      <w:tabs>
        <w:tab w:val="clear" w:pos="4536"/>
        <w:tab w:val="clear" w:pos="9072"/>
        <w:tab w:val="left" w:pos="8445"/>
      </w:tabs>
    </w:pPr>
    <w:r w:rsidRPr="009911A2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911A2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911A2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67631"/>
    <w:rsid w:val="000866BA"/>
    <w:rsid w:val="00094BA1"/>
    <w:rsid w:val="000D12D9"/>
    <w:rsid w:val="000D37C8"/>
    <w:rsid w:val="001005CA"/>
    <w:rsid w:val="00112DC4"/>
    <w:rsid w:val="0014042B"/>
    <w:rsid w:val="00142B91"/>
    <w:rsid w:val="001653C7"/>
    <w:rsid w:val="00173ECE"/>
    <w:rsid w:val="00197B7E"/>
    <w:rsid w:val="001A6020"/>
    <w:rsid w:val="001C32D5"/>
    <w:rsid w:val="001E1C19"/>
    <w:rsid w:val="001E2122"/>
    <w:rsid w:val="001E53A7"/>
    <w:rsid w:val="00203D45"/>
    <w:rsid w:val="00221ED2"/>
    <w:rsid w:val="0024642C"/>
    <w:rsid w:val="002B29A0"/>
    <w:rsid w:val="002C4C58"/>
    <w:rsid w:val="002E3A90"/>
    <w:rsid w:val="002E3B1E"/>
    <w:rsid w:val="003372CF"/>
    <w:rsid w:val="00357F2E"/>
    <w:rsid w:val="00363754"/>
    <w:rsid w:val="00366065"/>
    <w:rsid w:val="003767FF"/>
    <w:rsid w:val="00382839"/>
    <w:rsid w:val="00397845"/>
    <w:rsid w:val="003A3231"/>
    <w:rsid w:val="003A3BDB"/>
    <w:rsid w:val="003C6E9E"/>
    <w:rsid w:val="003D1449"/>
    <w:rsid w:val="003F6C80"/>
    <w:rsid w:val="0041466B"/>
    <w:rsid w:val="004341F2"/>
    <w:rsid w:val="004420D1"/>
    <w:rsid w:val="00443BF4"/>
    <w:rsid w:val="004514FE"/>
    <w:rsid w:val="00452C59"/>
    <w:rsid w:val="00455856"/>
    <w:rsid w:val="00456B7F"/>
    <w:rsid w:val="0046211C"/>
    <w:rsid w:val="00467D3E"/>
    <w:rsid w:val="00493E1F"/>
    <w:rsid w:val="004A0699"/>
    <w:rsid w:val="004B4FF4"/>
    <w:rsid w:val="005179B2"/>
    <w:rsid w:val="00523D26"/>
    <w:rsid w:val="005643F9"/>
    <w:rsid w:val="005A207F"/>
    <w:rsid w:val="005A4729"/>
    <w:rsid w:val="005B7E8E"/>
    <w:rsid w:val="005D7969"/>
    <w:rsid w:val="005E2480"/>
    <w:rsid w:val="00624D80"/>
    <w:rsid w:val="006263D1"/>
    <w:rsid w:val="00655BBC"/>
    <w:rsid w:val="006C1C98"/>
    <w:rsid w:val="006E514C"/>
    <w:rsid w:val="006F371F"/>
    <w:rsid w:val="006F5584"/>
    <w:rsid w:val="0070507A"/>
    <w:rsid w:val="0071582C"/>
    <w:rsid w:val="00740C65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80352E"/>
    <w:rsid w:val="00806A16"/>
    <w:rsid w:val="00816966"/>
    <w:rsid w:val="008343F4"/>
    <w:rsid w:val="0085786A"/>
    <w:rsid w:val="0087457D"/>
    <w:rsid w:val="00875E4E"/>
    <w:rsid w:val="008830AE"/>
    <w:rsid w:val="00883EC6"/>
    <w:rsid w:val="008C4A27"/>
    <w:rsid w:val="008C595D"/>
    <w:rsid w:val="008C7699"/>
    <w:rsid w:val="008D16D1"/>
    <w:rsid w:val="008E2D2E"/>
    <w:rsid w:val="008F4F72"/>
    <w:rsid w:val="00907BD8"/>
    <w:rsid w:val="009253B0"/>
    <w:rsid w:val="00926E6A"/>
    <w:rsid w:val="009550B8"/>
    <w:rsid w:val="00962356"/>
    <w:rsid w:val="00964841"/>
    <w:rsid w:val="0097293F"/>
    <w:rsid w:val="009911A2"/>
    <w:rsid w:val="00993BD6"/>
    <w:rsid w:val="009B4CC7"/>
    <w:rsid w:val="009C7CC5"/>
    <w:rsid w:val="009D57AA"/>
    <w:rsid w:val="009D6827"/>
    <w:rsid w:val="009E35F4"/>
    <w:rsid w:val="009F52EC"/>
    <w:rsid w:val="00A0420A"/>
    <w:rsid w:val="00A1039B"/>
    <w:rsid w:val="00A1642E"/>
    <w:rsid w:val="00A33993"/>
    <w:rsid w:val="00A45D35"/>
    <w:rsid w:val="00A469AE"/>
    <w:rsid w:val="00A505D4"/>
    <w:rsid w:val="00A55AB3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24027"/>
    <w:rsid w:val="00B61890"/>
    <w:rsid w:val="00B65545"/>
    <w:rsid w:val="00B81B2E"/>
    <w:rsid w:val="00B83007"/>
    <w:rsid w:val="00C037DB"/>
    <w:rsid w:val="00C75F43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A0844"/>
    <w:rsid w:val="00DC0BDB"/>
    <w:rsid w:val="00DC32FF"/>
    <w:rsid w:val="00DC641F"/>
    <w:rsid w:val="00DD3B60"/>
    <w:rsid w:val="00DE7AF4"/>
    <w:rsid w:val="00E036A9"/>
    <w:rsid w:val="00E22334"/>
    <w:rsid w:val="00E23B7A"/>
    <w:rsid w:val="00E541C2"/>
    <w:rsid w:val="00E64ADF"/>
    <w:rsid w:val="00E91585"/>
    <w:rsid w:val="00EA5663"/>
    <w:rsid w:val="00EA79C0"/>
    <w:rsid w:val="00EC11B3"/>
    <w:rsid w:val="00ED00F4"/>
    <w:rsid w:val="00EE0CA2"/>
    <w:rsid w:val="00F068ED"/>
    <w:rsid w:val="00F122A5"/>
    <w:rsid w:val="00F30D44"/>
    <w:rsid w:val="00F81050"/>
    <w:rsid w:val="00F834FA"/>
    <w:rsid w:val="00FB698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81B2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1B2E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1B2E"/>
    <w:rPr>
      <w:vertAlign w:val="superscript"/>
    </w:rPr>
  </w:style>
  <w:style w:type="paragraph" w:styleId="Textkrper2">
    <w:name w:val="Body Text 2"/>
    <w:basedOn w:val="Standard"/>
    <w:link w:val="Textkrper2Zchn"/>
    <w:rsid w:val="002B29A0"/>
    <w:pPr>
      <w:spacing w:line="480" w:lineRule="auto"/>
      <w:jc w:val="both"/>
    </w:pPr>
    <w:rPr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B29A0"/>
    <w:rPr>
      <w:i/>
      <w:iCs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35F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35F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1A0C-BADA-40F5-8717-91A85DA8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Wunderlin;th</dc:creator>
  <cp:lastModifiedBy>Ulrich</cp:lastModifiedBy>
  <cp:revision>4</cp:revision>
  <cp:lastPrinted>2013-12-03T11:51:00Z</cp:lastPrinted>
  <dcterms:created xsi:type="dcterms:W3CDTF">2015-12-06T17:58:00Z</dcterms:created>
  <dcterms:modified xsi:type="dcterms:W3CDTF">2015-12-20T10:41:00Z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