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5B23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9F58E1" w:rsidRPr="00094BA1" w:rsidRDefault="009F58E1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413C5">
        <w:rPr>
          <w:rFonts w:ascii="Verdana" w:hAnsi="Verdana"/>
          <w:b/>
        </w:rPr>
        <w:t>Das Daniell-Element als einfache Batterie</w:t>
      </w:r>
      <w:r w:rsidR="009616A4">
        <w:rPr>
          <w:rFonts w:ascii="Verdana" w:hAnsi="Verdana"/>
          <w:b/>
        </w:rPr>
        <w:t xml:space="preserve"> </w:t>
      </w:r>
      <w:r w:rsidR="008413C5">
        <w:rPr>
          <w:rFonts w:ascii="Verdana" w:hAnsi="Verdana"/>
          <w:b/>
        </w:rPr>
        <w:t>(5.7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8413C5">
        <w:rPr>
          <w:rFonts w:ascii="Verdana" w:hAnsi="Verdana"/>
          <w:b/>
        </w:rPr>
        <w:t>91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5B2364">
      <w:pPr>
        <w:rPr>
          <w:rFonts w:ascii="Arial" w:hAnsi="Arial"/>
          <w:sz w:val="24"/>
        </w:rPr>
      </w:pPr>
      <w:r w:rsidRPr="005B236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B236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B236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9F58E1" w:rsidRPr="004D5A9F" w:rsidRDefault="009F58E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434E0" w:rsidRPr="00AC60B9" w:rsidTr="00E434E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434E0" w:rsidRPr="00AC60B9" w:rsidRDefault="00E434E0" w:rsidP="008C286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Kupfersulfat-Pentahydrat</w:t>
            </w:r>
          </w:p>
        </w:tc>
        <w:tc>
          <w:tcPr>
            <w:tcW w:w="1276" w:type="dxa"/>
          </w:tcPr>
          <w:p w:rsidR="00E434E0" w:rsidRPr="00F33F91" w:rsidRDefault="00E434E0" w:rsidP="008C2869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434E0" w:rsidRPr="00AC60B9" w:rsidRDefault="008413C5" w:rsidP="008C2869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31115</wp:posOffset>
                  </wp:positionV>
                  <wp:extent cx="313690" cy="320675"/>
                  <wp:effectExtent l="19050" t="0" r="0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58E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537210</wp:posOffset>
                  </wp:positionH>
                  <wp:positionV relativeFrom="margin">
                    <wp:posOffset>33020</wp:posOffset>
                  </wp:positionV>
                  <wp:extent cx="316230" cy="320675"/>
                  <wp:effectExtent l="19050" t="0" r="7620" b="0"/>
                  <wp:wrapNone/>
                  <wp:docPr id="1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H410</w:t>
            </w:r>
          </w:p>
        </w:tc>
        <w:tc>
          <w:tcPr>
            <w:tcW w:w="993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</w:t>
            </w:r>
          </w:p>
        </w:tc>
        <w:tc>
          <w:tcPr>
            <w:tcW w:w="935" w:type="dxa"/>
          </w:tcPr>
          <w:p w:rsidR="00E434E0" w:rsidRPr="00AC60B9" w:rsidRDefault="00E434E0" w:rsidP="008C286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413C5" w:rsidRPr="008413C5" w:rsidTr="00E434E0">
        <w:trPr>
          <w:trHeight w:val="708"/>
        </w:trPr>
        <w:tc>
          <w:tcPr>
            <w:cnfStyle w:val="001000000000"/>
            <w:tcW w:w="2518" w:type="dxa"/>
          </w:tcPr>
          <w:p w:rsidR="008413C5" w:rsidRPr="008413C5" w:rsidRDefault="008413C5" w:rsidP="008C2869">
            <w:pPr>
              <w:rPr>
                <w:rFonts w:ascii="Verdana" w:hAnsi="Verdana"/>
                <w:b w:val="0"/>
              </w:rPr>
            </w:pPr>
            <w:r w:rsidRPr="008413C5">
              <w:rPr>
                <w:rFonts w:ascii="Verdana" w:hAnsi="Verdana"/>
                <w:b w:val="0"/>
              </w:rPr>
              <w:t>Zinksulfat-Heptahydrat</w:t>
            </w:r>
          </w:p>
        </w:tc>
        <w:tc>
          <w:tcPr>
            <w:tcW w:w="1276" w:type="dxa"/>
          </w:tcPr>
          <w:p w:rsidR="008413C5" w:rsidRPr="008413C5" w:rsidRDefault="008413C5" w:rsidP="008C2869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413C5" w:rsidRPr="008413C5" w:rsidRDefault="008413C5" w:rsidP="008C2869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8413C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-33387</wp:posOffset>
                  </wp:positionH>
                  <wp:positionV relativeFrom="margin">
                    <wp:posOffset>46847</wp:posOffset>
                  </wp:positionV>
                  <wp:extent cx="319604" cy="320723"/>
                  <wp:effectExtent l="19050" t="0" r="4246" b="0"/>
                  <wp:wrapNone/>
                  <wp:docPr id="4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284480</wp:posOffset>
                  </wp:positionH>
                  <wp:positionV relativeFrom="margin">
                    <wp:posOffset>46355</wp:posOffset>
                  </wp:positionV>
                  <wp:extent cx="313690" cy="320675"/>
                  <wp:effectExtent l="19050" t="0" r="0" b="0"/>
                  <wp:wrapNone/>
                  <wp:docPr id="3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13C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598720</wp:posOffset>
                  </wp:positionH>
                  <wp:positionV relativeFrom="margin">
                    <wp:posOffset>48625</wp:posOffset>
                  </wp:positionV>
                  <wp:extent cx="314524" cy="320723"/>
                  <wp:effectExtent l="19050" t="0" r="9326" b="0"/>
                  <wp:wrapNone/>
                  <wp:docPr id="3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413C5" w:rsidRPr="008413C5" w:rsidRDefault="008413C5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H318 H410</w:t>
            </w:r>
          </w:p>
        </w:tc>
        <w:tc>
          <w:tcPr>
            <w:tcW w:w="993" w:type="dxa"/>
          </w:tcPr>
          <w:p w:rsidR="008413C5" w:rsidRPr="008413C5" w:rsidRDefault="008413C5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8413C5" w:rsidRPr="008413C5" w:rsidRDefault="008413C5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P305+351+338 P313</w:t>
            </w:r>
          </w:p>
        </w:tc>
        <w:tc>
          <w:tcPr>
            <w:tcW w:w="935" w:type="dxa"/>
          </w:tcPr>
          <w:p w:rsidR="008413C5" w:rsidRPr="008413C5" w:rsidRDefault="009A11C4" w:rsidP="008C286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E434E0" w:rsidRPr="00E434E0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9A3DF1" w:rsidRDefault="009F58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Kupferpl</w:t>
            </w:r>
            <w:r w:rsidR="008413C5">
              <w:rPr>
                <w:rFonts w:ascii="Verdana" w:hAnsi="Verdana"/>
                <w:b w:val="0"/>
              </w:rPr>
              <w:t>atte</w:t>
            </w:r>
          </w:p>
        </w:tc>
      </w:tr>
      <w:tr w:rsidR="009A3DF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413C5" w:rsidRDefault="008413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Zinkplatte</w:t>
            </w:r>
          </w:p>
        </w:tc>
      </w:tr>
      <w:tr w:rsidR="008413C5" w:rsidTr="006133D7">
        <w:trPr>
          <w:trHeight w:val="454"/>
        </w:trPr>
        <w:tc>
          <w:tcPr>
            <w:cnfStyle w:val="001000000000"/>
            <w:tcW w:w="10606" w:type="dxa"/>
          </w:tcPr>
          <w:p w:rsidR="008413C5" w:rsidRDefault="008413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Natriumsulfat-Decahydrat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413C5" w:rsidRDefault="008413C5" w:rsidP="008413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8413C5" w:rsidRPr="008413C5" w:rsidRDefault="008413C5" w:rsidP="008413C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8413C5">
        <w:rPr>
          <w:rFonts w:ascii="Verdana" w:hAnsi="Verdana"/>
          <w:i/>
        </w:rPr>
        <w:t>In die beiden Elektrolysetröge gibt man die Elektroden mit den entsprechenden Salzlösungen (Zin</w:t>
      </w:r>
      <w:r w:rsidRPr="008413C5">
        <w:rPr>
          <w:rFonts w:ascii="Verdana" w:hAnsi="Verdana"/>
          <w:i/>
        </w:rPr>
        <w:t>k</w:t>
      </w:r>
      <w:r>
        <w:rPr>
          <w:rFonts w:ascii="Verdana" w:hAnsi="Verdana"/>
          <w:i/>
        </w:rPr>
        <w:t>elektrode in die 1 molare</w:t>
      </w:r>
      <w:r w:rsidRPr="008413C5">
        <w:rPr>
          <w:rFonts w:ascii="Verdana" w:hAnsi="Verdana"/>
          <w:i/>
        </w:rPr>
        <w:t xml:space="preserve"> Zinksulfatlö</w:t>
      </w:r>
      <w:r>
        <w:rPr>
          <w:rFonts w:ascii="Verdana" w:hAnsi="Verdana"/>
          <w:i/>
        </w:rPr>
        <w:t>sung, Kupferelektrode in die 1 molare</w:t>
      </w:r>
      <w:r w:rsidRPr="008413C5">
        <w:rPr>
          <w:rFonts w:ascii="Verdana" w:hAnsi="Verdana"/>
          <w:i/>
        </w:rPr>
        <w:t xml:space="preserve"> Kupfersulfatlösung. Das U-Rohr wird als Stromschüssel mit </w:t>
      </w:r>
      <w:r>
        <w:rPr>
          <w:rFonts w:ascii="Verdana" w:hAnsi="Verdana"/>
          <w:i/>
        </w:rPr>
        <w:t xml:space="preserve">gesättigter </w:t>
      </w:r>
      <w:r w:rsidRPr="008413C5">
        <w:rPr>
          <w:rFonts w:ascii="Verdana" w:hAnsi="Verdana"/>
          <w:i/>
        </w:rPr>
        <w:t>Natriumsulfatlösung gefüllt und die beiden Enden mit in Natriumsulfatlösung getränkter Watte verschlossen. Die Stromschüssel verbindet die beiden Elektrol</w:t>
      </w:r>
      <w:r w:rsidRPr="008413C5">
        <w:rPr>
          <w:rFonts w:ascii="Verdana" w:hAnsi="Verdana"/>
          <w:i/>
        </w:rPr>
        <w:t>y</w:t>
      </w:r>
      <w:r w:rsidRPr="008413C5">
        <w:rPr>
          <w:rFonts w:ascii="Verdana" w:hAnsi="Verdana"/>
          <w:i/>
        </w:rPr>
        <w:t>sentröge. Die Elektroden werden an das Voltmeter angeschlossen (Zn an den –Pol, Cu an den +Pol).</w:t>
      </w:r>
    </w:p>
    <w:p w:rsidR="00D841FF" w:rsidRDefault="00D841FF" w:rsidP="00D841FF">
      <w:pPr>
        <w:rPr>
          <w:rFonts w:ascii="Verdana" w:hAnsi="Verdana"/>
          <w:b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EB26DE" w:rsidRDefault="00EB26D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EB26DE" w:rsidRPr="00EB26DE" w:rsidRDefault="00EB26DE" w:rsidP="00EB26D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Lösungen</w:t>
      </w:r>
      <w:r w:rsidRPr="00EB26DE">
        <w:rPr>
          <w:rFonts w:ascii="Verdana" w:hAnsi="Verdana"/>
          <w:i/>
          <w:color w:val="000000"/>
        </w:rPr>
        <w:t xml:space="preserve"> </w:t>
      </w:r>
      <w:r w:rsidR="008413C5">
        <w:rPr>
          <w:rFonts w:ascii="Verdana" w:hAnsi="Verdana"/>
          <w:i/>
          <w:color w:val="000000"/>
        </w:rPr>
        <w:t>weiter verwenden (für dieses Experiment).</w:t>
      </w:r>
    </w:p>
    <w:p w:rsidR="00FA62A8" w:rsidRPr="00EB26DE" w:rsidRDefault="00FA62A8" w:rsidP="00EB26DE">
      <w:pPr>
        <w:rPr>
          <w:rFonts w:ascii="Verdana" w:hAnsi="Verdana"/>
          <w:i/>
        </w:rPr>
      </w:pPr>
    </w:p>
    <w:p w:rsidR="00FA62A8" w:rsidRDefault="00FA62A8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26D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Default="004661FE">
      <w:pPr>
        <w:rPr>
          <w:rFonts w:ascii="Arial" w:hAnsi="Arial"/>
        </w:rPr>
      </w:pPr>
    </w:p>
    <w:p w:rsidR="00B11590" w:rsidRPr="00A33993" w:rsidRDefault="00B1159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8413C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2871432</wp:posOffset>
            </wp:positionH>
            <wp:positionV relativeFrom="margin">
              <wp:posOffset>3324036</wp:posOffset>
            </wp:positionV>
            <wp:extent cx="390383" cy="402609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  <w:t xml:space="preserve">     </w:t>
      </w:r>
      <w:r w:rsidR="00FA62A8">
        <w:rPr>
          <w:rFonts w:ascii="Verdana" w:hAnsi="Verdana"/>
          <w:b/>
        </w:rPr>
        <w:tab/>
      </w:r>
      <w:r w:rsidR="00FA62A8">
        <w:rPr>
          <w:rFonts w:ascii="Verdana" w:hAnsi="Verdana"/>
          <w:b/>
        </w:rPr>
        <w:tab/>
        <w:t xml:space="preserve">     </w:t>
      </w:r>
      <w:r w:rsidR="001A2459">
        <w:rPr>
          <w:rFonts w:ascii="Verdana" w:hAnsi="Verdana"/>
          <w:i/>
        </w:rPr>
        <w:t xml:space="preserve">Schutzbrille tragen </w:t>
      </w:r>
      <w:r w:rsidR="008B5534">
        <w:rPr>
          <w:rFonts w:ascii="Verdana" w:hAnsi="Verdana"/>
          <w:i/>
        </w:rPr>
        <w:tab/>
      </w:r>
      <w:r w:rsidR="008B5534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B11590" w:rsidRDefault="00B11590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8B5534">
        <w:rPr>
          <w:rFonts w:ascii="Verdana" w:hAnsi="Verdana"/>
          <w:i/>
        </w:rPr>
        <w:t>, risikoarmer Standartversuch.</w:t>
      </w:r>
    </w:p>
    <w:p w:rsidR="00A268D1" w:rsidRDefault="00A268D1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B11590" w:rsidRDefault="00B11590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8413C5" w:rsidRDefault="008413C5">
      <w:pPr>
        <w:rPr>
          <w:rFonts w:ascii="Verdana" w:hAnsi="Verdana"/>
          <w:b/>
        </w:rPr>
      </w:pPr>
    </w:p>
    <w:p w:rsidR="00E434E0" w:rsidRDefault="00E434E0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eastAsia="zh-CN"/>
        </w:rPr>
      </w:pPr>
      <w:r w:rsidRPr="00E434E0">
        <w:rPr>
          <w:rFonts w:ascii="Verdana" w:hAnsi="Verdana"/>
          <w:sz w:val="16"/>
          <w:szCs w:val="16"/>
        </w:rPr>
        <w:t>H302</w:t>
      </w:r>
      <w:r w:rsidR="00FA62A8">
        <w:rPr>
          <w:rFonts w:ascii="Verdana" w:hAnsi="Verdana"/>
          <w:sz w:val="16"/>
          <w:szCs w:val="16"/>
          <w:lang w:val="de-CH"/>
        </w:rPr>
        <w:tab/>
      </w:r>
      <w:r w:rsidR="008B7789">
        <w:rPr>
          <w:rFonts w:ascii="Verdana" w:hAnsi="Verdana"/>
          <w:sz w:val="16"/>
          <w:szCs w:val="16"/>
          <w:lang w:val="de-CH"/>
        </w:rPr>
        <w:tab/>
      </w:r>
      <w:r w:rsidR="008B7789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38166A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E434E0">
        <w:rPr>
          <w:rFonts w:ascii="Verdana" w:hAnsi="Verdana"/>
          <w:sz w:val="16"/>
          <w:szCs w:val="16"/>
        </w:rPr>
        <w:t>H315</w:t>
      </w:r>
      <w:r w:rsidR="0038166A" w:rsidRPr="0038166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8413C5" w:rsidRDefault="008413C5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413C5">
        <w:rPr>
          <w:rFonts w:ascii="Verdana" w:hAnsi="Verdana"/>
          <w:sz w:val="16"/>
          <w:szCs w:val="16"/>
          <w:lang w:val="de-CH"/>
        </w:rPr>
        <w:t>H318</w:t>
      </w:r>
      <w:r w:rsidRPr="008413C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413C5">
        <w:rPr>
          <w:rFonts w:ascii="Verdana" w:hAnsi="Verdana"/>
          <w:sz w:val="16"/>
          <w:szCs w:val="16"/>
          <w:lang w:val="de-CH"/>
        </w:rPr>
        <w:t>Verursacht schwere Augenschäden.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434E0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5D0F1C" w:rsidRPr="00EB26DE" w:rsidRDefault="005D0F1C" w:rsidP="00EB26DE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8B7789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D47B94">
        <w:rPr>
          <w:rFonts w:ascii="Verdana" w:hAnsi="Verdana"/>
          <w:sz w:val="16"/>
          <w:szCs w:val="16"/>
        </w:rPr>
        <w:t>P273</w:t>
      </w:r>
      <w:r w:rsidRPr="00D47B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47B94">
        <w:rPr>
          <w:rFonts w:ascii="Verdana" w:hAnsi="Verdana"/>
          <w:sz w:val="16"/>
          <w:szCs w:val="16"/>
        </w:rPr>
        <w:t>Freisetzung in die Umwelt vermeiden.</w:t>
      </w:r>
    </w:p>
    <w:p w:rsid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8B7789">
        <w:rPr>
          <w:rFonts w:ascii="Verdana" w:hAnsi="Verdana"/>
          <w:sz w:val="16"/>
          <w:szCs w:val="16"/>
          <w:lang w:val="de-CH"/>
        </w:rPr>
        <w:t>P280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9616A4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  <w:r w:rsidR="009616A4">
        <w:rPr>
          <w:rFonts w:ascii="Verdana" w:hAnsi="Verdana"/>
          <w:sz w:val="16"/>
          <w:szCs w:val="16"/>
          <w:lang w:val="de-CH"/>
        </w:rPr>
        <w:tab/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>: Einige Minuten lang vorsichtig mit Wasser ausspülen. Eventuell vor</w:t>
      </w:r>
      <w:r>
        <w:rPr>
          <w:rFonts w:ascii="Verdana" w:hAnsi="Verdana"/>
          <w:sz w:val="16"/>
          <w:szCs w:val="16"/>
          <w:lang w:eastAsia="zh-CN"/>
        </w:rPr>
        <w:t>-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handene Kontaktlinsen nach Möglichkeit entfernen. Weiter ausspülen.</w:t>
      </w:r>
    </w:p>
    <w:p w:rsidR="008B7789" w:rsidRDefault="008413C5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P313</w:t>
      </w:r>
      <w:r w:rsidR="009A3DF1">
        <w:rPr>
          <w:rFonts w:ascii="Verdana" w:hAnsi="Verdana"/>
          <w:sz w:val="16"/>
          <w:szCs w:val="16"/>
        </w:rPr>
        <w:tab/>
      </w:r>
      <w:r w:rsidR="009A3DF1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8413C5">
        <w:rPr>
          <w:rFonts w:ascii="Verdana" w:hAnsi="Verdana"/>
          <w:sz w:val="16"/>
          <w:szCs w:val="16"/>
        </w:rPr>
        <w:t>Ärztlichen Rat einholen / ärztliche Hilfe hinzuziehen.</w:t>
      </w:r>
    </w:p>
    <w:p w:rsidR="00D841FF" w:rsidRDefault="00D841FF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EB26DE" w:rsidRDefault="00EB26DE">
      <w:pPr>
        <w:rPr>
          <w:rFonts w:ascii="Verdana" w:hAnsi="Verdana"/>
          <w:lang w:val="de-CH"/>
        </w:rPr>
      </w:pPr>
    </w:p>
    <w:p w:rsidR="008413C5" w:rsidRDefault="008413C5">
      <w:pPr>
        <w:rPr>
          <w:rFonts w:ascii="Verdana" w:hAnsi="Verdana"/>
          <w:lang w:val="de-CH"/>
        </w:rPr>
      </w:pPr>
    </w:p>
    <w:p w:rsidR="008413C5" w:rsidRDefault="008413C5">
      <w:pPr>
        <w:rPr>
          <w:rFonts w:ascii="Verdana" w:hAnsi="Verdana"/>
          <w:lang w:val="de-CH"/>
        </w:rPr>
      </w:pPr>
    </w:p>
    <w:p w:rsidR="008413C5" w:rsidRDefault="008413C5">
      <w:pPr>
        <w:rPr>
          <w:rFonts w:ascii="Verdana" w:hAnsi="Verdana"/>
          <w:lang w:val="de-CH"/>
        </w:rPr>
      </w:pPr>
    </w:p>
    <w:p w:rsidR="008413C5" w:rsidRDefault="008413C5">
      <w:pPr>
        <w:rPr>
          <w:rFonts w:ascii="Verdana" w:hAnsi="Verdana"/>
          <w:lang w:val="de-CH"/>
        </w:rPr>
      </w:pPr>
    </w:p>
    <w:p w:rsidR="008413C5" w:rsidRDefault="008413C5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8413C5" w:rsidRDefault="008413C5">
      <w:pPr>
        <w:rPr>
          <w:rFonts w:ascii="Arial" w:hAnsi="Arial"/>
          <w:sz w:val="24"/>
          <w:lang w:val="de-CH"/>
        </w:rPr>
      </w:pPr>
    </w:p>
    <w:p w:rsidR="008413C5" w:rsidRDefault="008413C5">
      <w:pPr>
        <w:rPr>
          <w:rFonts w:ascii="Arial" w:hAnsi="Arial"/>
          <w:sz w:val="24"/>
          <w:lang w:val="de-CH"/>
        </w:rPr>
      </w:pPr>
    </w:p>
    <w:p w:rsidR="00EB26DE" w:rsidRDefault="00EB26DE">
      <w:pPr>
        <w:rPr>
          <w:rFonts w:ascii="Arial" w:hAnsi="Arial"/>
          <w:sz w:val="24"/>
          <w:lang w:val="de-CH"/>
        </w:rPr>
      </w:pPr>
    </w:p>
    <w:p w:rsidR="009A3DF1" w:rsidRDefault="009A3DF1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8413C5" w:rsidRDefault="008413C5">
      <w:pPr>
        <w:rPr>
          <w:rFonts w:ascii="Verdana" w:hAnsi="Verdana"/>
        </w:rPr>
      </w:pPr>
    </w:p>
    <w:p w:rsidR="008413C5" w:rsidRDefault="008413C5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EB26DE" w:rsidRDefault="00EB26DE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EB26DE" w:rsidRDefault="00EB26DE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BB304C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AB" w:rsidRDefault="006003AB" w:rsidP="00015609">
      <w:r>
        <w:separator/>
      </w:r>
    </w:p>
  </w:endnote>
  <w:endnote w:type="continuationSeparator" w:id="0">
    <w:p w:rsidR="006003AB" w:rsidRDefault="006003AB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1" w:rsidRPr="00382839" w:rsidRDefault="009F58E1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9F58E1" w:rsidRPr="00382839" w:rsidRDefault="009F58E1">
    <w:pPr>
      <w:pStyle w:val="Fuzeile"/>
      <w:rPr>
        <w:sz w:val="16"/>
        <w:szCs w:val="16"/>
      </w:rPr>
    </w:pPr>
  </w:p>
  <w:p w:rsidR="009F58E1" w:rsidRDefault="009F58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AB" w:rsidRDefault="006003AB" w:rsidP="00015609">
      <w:r>
        <w:separator/>
      </w:r>
    </w:p>
  </w:footnote>
  <w:footnote w:type="continuationSeparator" w:id="0">
    <w:p w:rsidR="006003AB" w:rsidRDefault="006003AB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E1" w:rsidRDefault="009F58E1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8E1" w:rsidRDefault="005B2364" w:rsidP="00015609">
    <w:pPr>
      <w:pStyle w:val="Kopfzeile"/>
      <w:tabs>
        <w:tab w:val="clear" w:pos="4536"/>
        <w:tab w:val="clear" w:pos="9072"/>
        <w:tab w:val="left" w:pos="8445"/>
      </w:tabs>
    </w:pPr>
    <w:r w:rsidRPr="005B236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B236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5B236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9F58E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A6143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493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86C67"/>
    <w:rsid w:val="00491344"/>
    <w:rsid w:val="00491D80"/>
    <w:rsid w:val="00495A76"/>
    <w:rsid w:val="004A0699"/>
    <w:rsid w:val="004B4FF4"/>
    <w:rsid w:val="004D5A9F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B2364"/>
    <w:rsid w:val="005D0F1C"/>
    <w:rsid w:val="005E2480"/>
    <w:rsid w:val="006003AB"/>
    <w:rsid w:val="00604250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43AE5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13C5"/>
    <w:rsid w:val="008441A4"/>
    <w:rsid w:val="0085786A"/>
    <w:rsid w:val="00875E4E"/>
    <w:rsid w:val="008830AE"/>
    <w:rsid w:val="008B5534"/>
    <w:rsid w:val="008B7789"/>
    <w:rsid w:val="008C2869"/>
    <w:rsid w:val="008C4A27"/>
    <w:rsid w:val="008C595D"/>
    <w:rsid w:val="008C7699"/>
    <w:rsid w:val="008D16D1"/>
    <w:rsid w:val="008F4F72"/>
    <w:rsid w:val="00907BD8"/>
    <w:rsid w:val="0091646F"/>
    <w:rsid w:val="009253B0"/>
    <w:rsid w:val="00931F53"/>
    <w:rsid w:val="00933E7F"/>
    <w:rsid w:val="00935B2D"/>
    <w:rsid w:val="00935CF4"/>
    <w:rsid w:val="00940415"/>
    <w:rsid w:val="009504C4"/>
    <w:rsid w:val="009550B8"/>
    <w:rsid w:val="009616A4"/>
    <w:rsid w:val="00962356"/>
    <w:rsid w:val="00964841"/>
    <w:rsid w:val="0097293F"/>
    <w:rsid w:val="009777F9"/>
    <w:rsid w:val="00993BD6"/>
    <w:rsid w:val="009A11C4"/>
    <w:rsid w:val="009A3DF1"/>
    <w:rsid w:val="009B4CC7"/>
    <w:rsid w:val="009C7CC5"/>
    <w:rsid w:val="009D50A3"/>
    <w:rsid w:val="009D57AA"/>
    <w:rsid w:val="009D5943"/>
    <w:rsid w:val="009D6827"/>
    <w:rsid w:val="009F50EC"/>
    <w:rsid w:val="009F52EC"/>
    <w:rsid w:val="009F58E1"/>
    <w:rsid w:val="009F5956"/>
    <w:rsid w:val="00A0420A"/>
    <w:rsid w:val="00A1039B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C2676"/>
    <w:rsid w:val="00AC37A7"/>
    <w:rsid w:val="00AC60B9"/>
    <w:rsid w:val="00AE4E6E"/>
    <w:rsid w:val="00AF56DE"/>
    <w:rsid w:val="00B03BAF"/>
    <w:rsid w:val="00B03E55"/>
    <w:rsid w:val="00B11590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B304C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30439"/>
    <w:rsid w:val="00E434E0"/>
    <w:rsid w:val="00E541C2"/>
    <w:rsid w:val="00E572E1"/>
    <w:rsid w:val="00EA02BC"/>
    <w:rsid w:val="00EA5663"/>
    <w:rsid w:val="00EA79C0"/>
    <w:rsid w:val="00EB007D"/>
    <w:rsid w:val="00EB26DE"/>
    <w:rsid w:val="00EC11B3"/>
    <w:rsid w:val="00F01878"/>
    <w:rsid w:val="00F036E5"/>
    <w:rsid w:val="00F068ED"/>
    <w:rsid w:val="00F122A5"/>
    <w:rsid w:val="00F27756"/>
    <w:rsid w:val="00F30D44"/>
    <w:rsid w:val="00F33F91"/>
    <w:rsid w:val="00F616F0"/>
    <w:rsid w:val="00F70AA6"/>
    <w:rsid w:val="00F81050"/>
    <w:rsid w:val="00FA62A8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699D-B8D2-4212-A9C2-EB1122B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2015-10-12T14:15:00Z</dcterms:created>
  <dcterms:modified xsi:type="dcterms:W3CDTF">2015-10-16T10:29:00Z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