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AC446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D30D27" w:rsidRPr="00094BA1" w:rsidRDefault="00D30D27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96297C">
        <w:rPr>
          <w:rFonts w:ascii="Verdana" w:hAnsi="Verdana"/>
          <w:b/>
        </w:rPr>
        <w:t>Titration</w:t>
      </w:r>
      <w:r w:rsidR="009616A4">
        <w:rPr>
          <w:rFonts w:ascii="Verdana" w:hAnsi="Verdana"/>
          <w:b/>
        </w:rPr>
        <w:t xml:space="preserve"> </w:t>
      </w:r>
      <w:r w:rsidR="0096297C">
        <w:rPr>
          <w:rFonts w:ascii="Verdana" w:hAnsi="Verdana"/>
          <w:b/>
        </w:rPr>
        <w:t>(5.11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96297C">
        <w:rPr>
          <w:rFonts w:ascii="Verdana" w:hAnsi="Verdana"/>
          <w:b/>
        </w:rPr>
        <w:t>110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AC4467">
      <w:pPr>
        <w:rPr>
          <w:rFonts w:ascii="Arial" w:hAnsi="Arial"/>
          <w:sz w:val="24"/>
        </w:rPr>
      </w:pPr>
      <w:r w:rsidRPr="00AC4467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C4467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C4467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583E61" w:rsidRPr="00D30D27" w:rsidTr="00583E61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0B28A9" w:rsidRDefault="00D30D27" w:rsidP="000B28A9">
            <w:pPr>
              <w:rPr>
                <w:rFonts w:ascii="Verdana" w:hAnsi="Verdana"/>
                <w:b w:val="0"/>
              </w:rPr>
            </w:pPr>
            <w:r w:rsidRPr="00D30D27">
              <w:rPr>
                <w:rFonts w:ascii="Verdana" w:hAnsi="Verdana"/>
                <w:b w:val="0"/>
              </w:rPr>
              <w:t>Natronlauge</w:t>
            </w:r>
          </w:p>
          <w:p w:rsidR="00D30D27" w:rsidRPr="00D30D27" w:rsidRDefault="009F3BE7" w:rsidP="000B28A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</w:t>
            </w:r>
            <w:r w:rsidR="00D579D8">
              <w:rPr>
                <w:rFonts w:ascii="Verdana" w:hAnsi="Verdana"/>
                <w:b w:val="0"/>
              </w:rPr>
              <w:t xml:space="preserve"> = ?</w:t>
            </w:r>
            <w:r w:rsidR="00D30D27">
              <w:rPr>
                <w:rFonts w:ascii="Verdana" w:hAnsi="Verdana"/>
                <w:b w:val="0"/>
              </w:rPr>
              <w:t xml:space="preserve"> mol∙l</w:t>
            </w:r>
            <w:r w:rsidR="00D30D27" w:rsidRPr="00D30D27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583E61" w:rsidRPr="00D30D27" w:rsidRDefault="009616A4" w:rsidP="00583E61">
            <w:pPr>
              <w:cnfStyle w:val="000000100000"/>
              <w:rPr>
                <w:rFonts w:ascii="Verdana" w:hAnsi="Verdana"/>
                <w:color w:val="FF0000"/>
              </w:rPr>
            </w:pPr>
            <w:r w:rsidRPr="00D30D27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583E61" w:rsidRPr="00D30D27" w:rsidRDefault="00D30D27" w:rsidP="00583E61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D30D27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margin">
                    <wp:posOffset>235936</wp:posOffset>
                  </wp:positionH>
                  <wp:positionV relativeFrom="margin">
                    <wp:posOffset>86047</wp:posOffset>
                  </wp:positionV>
                  <wp:extent cx="319604" cy="320723"/>
                  <wp:effectExtent l="19050" t="0" r="4246" b="0"/>
                  <wp:wrapNone/>
                  <wp:docPr id="5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83E61" w:rsidRPr="00D30D27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H</w:t>
            </w:r>
            <w:r w:rsidR="00D30D27">
              <w:rPr>
                <w:rFonts w:ascii="Verdana" w:hAnsi="Verdana"/>
                <w:sz w:val="16"/>
                <w:szCs w:val="16"/>
              </w:rPr>
              <w:t>290 H314</w:t>
            </w:r>
          </w:p>
        </w:tc>
        <w:tc>
          <w:tcPr>
            <w:tcW w:w="993" w:type="dxa"/>
          </w:tcPr>
          <w:p w:rsidR="00583E61" w:rsidRPr="00D30D27" w:rsidRDefault="00B357DC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583E61" w:rsidRPr="00D30D27" w:rsidRDefault="00D30D27" w:rsidP="00D30D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P301+330+331 P305+351+338 P309+310 </w:t>
            </w:r>
          </w:p>
        </w:tc>
        <w:tc>
          <w:tcPr>
            <w:tcW w:w="935" w:type="dxa"/>
          </w:tcPr>
          <w:p w:rsidR="00583E61" w:rsidRPr="00D30D27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F3BE7" w:rsidRPr="00AF56DE" w:rsidTr="009F3BE7">
        <w:trPr>
          <w:trHeight w:val="708"/>
        </w:trPr>
        <w:tc>
          <w:tcPr>
            <w:cnfStyle w:val="001000000000"/>
            <w:tcW w:w="2518" w:type="dxa"/>
          </w:tcPr>
          <w:p w:rsidR="009F3BE7" w:rsidRDefault="009F3BE7" w:rsidP="00A201C7">
            <w:pPr>
              <w:rPr>
                <w:rFonts w:ascii="Verdana" w:hAnsi="Verdana"/>
                <w:b w:val="0"/>
              </w:rPr>
            </w:pPr>
            <w:r w:rsidRPr="00AF56DE">
              <w:rPr>
                <w:rFonts w:ascii="Verdana" w:hAnsi="Verdana"/>
                <w:b w:val="0"/>
              </w:rPr>
              <w:t>Salzsäure</w:t>
            </w:r>
          </w:p>
          <w:p w:rsidR="009F3BE7" w:rsidRPr="00AF56DE" w:rsidRDefault="009F3BE7" w:rsidP="00A201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 = 1 mol∙l</w:t>
            </w:r>
            <w:r w:rsidRPr="00D30D27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AF56DE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50165</wp:posOffset>
                  </wp:positionV>
                  <wp:extent cx="318334" cy="320723"/>
                  <wp:effectExtent l="19050" t="0" r="5516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</w:t>
            </w:r>
          </w:p>
        </w:tc>
        <w:tc>
          <w:tcPr>
            <w:tcW w:w="993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P234 P280 P305+351+338 P390</w:t>
            </w:r>
          </w:p>
        </w:tc>
        <w:tc>
          <w:tcPr>
            <w:tcW w:w="935" w:type="dxa"/>
          </w:tcPr>
          <w:p w:rsidR="009F3BE7" w:rsidRPr="00AF56DE" w:rsidRDefault="005723D4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579D8" w:rsidRPr="00C02843" w:rsidTr="00B95CE8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D579D8" w:rsidRDefault="00D579D8" w:rsidP="00B95CE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D579D8" w:rsidRPr="00A87A4A" w:rsidRDefault="00D579D8" w:rsidP="00B95CE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276" w:type="dxa"/>
          </w:tcPr>
          <w:p w:rsidR="00D579D8" w:rsidRPr="009777F9" w:rsidRDefault="00D579D8" w:rsidP="00B95CE8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579D8" w:rsidRPr="00C02843" w:rsidRDefault="00D579D8" w:rsidP="00B95CE8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60325</wp:posOffset>
                  </wp:positionV>
                  <wp:extent cx="319405" cy="320675"/>
                  <wp:effectExtent l="19050" t="0" r="4445" b="0"/>
                  <wp:wrapNone/>
                  <wp:docPr id="2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579D8" w:rsidRPr="00C02843" w:rsidRDefault="00D579D8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993" w:type="dxa"/>
          </w:tcPr>
          <w:p w:rsidR="00D579D8" w:rsidRPr="00C02843" w:rsidRDefault="00D579D8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D579D8" w:rsidRPr="00C02843" w:rsidRDefault="00D579D8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935" w:type="dxa"/>
          </w:tcPr>
          <w:p w:rsidR="00D579D8" w:rsidRPr="00C02843" w:rsidRDefault="00DA07C3" w:rsidP="00B95CE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0B28A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0B28A9" w:rsidRDefault="00D841FF" w:rsidP="00D579D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Demineralisiertes </w:t>
            </w:r>
            <w:r w:rsidR="000B28A9">
              <w:rPr>
                <w:rFonts w:ascii="Verdana" w:hAnsi="Verdana"/>
                <w:b w:val="0"/>
              </w:rPr>
              <w:t>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D841FF" w:rsidRDefault="00D841FF" w:rsidP="00D841FF">
      <w:pPr>
        <w:rPr>
          <w:rFonts w:ascii="Verdana" w:hAnsi="Verdana"/>
          <w:b/>
        </w:rPr>
      </w:pPr>
    </w:p>
    <w:p w:rsidR="00DA07C3" w:rsidRPr="00DA07C3" w:rsidRDefault="00DA07C3" w:rsidP="00DA07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26640"/>
          <w:tab w:val="left" w:pos="27360"/>
          <w:tab w:val="left" w:pos="28080"/>
        </w:tabs>
        <w:jc w:val="both"/>
        <w:rPr>
          <w:rFonts w:ascii="Verdana" w:hAnsi="Verdana"/>
        </w:rPr>
      </w:pPr>
      <w:r w:rsidRPr="00DA07C3">
        <w:rPr>
          <w:rFonts w:ascii="Verdana" w:hAnsi="Verdana"/>
          <w:i/>
        </w:rPr>
        <w:t>In ein Bec</w:t>
      </w:r>
      <w:r>
        <w:rPr>
          <w:rFonts w:ascii="Verdana" w:hAnsi="Verdana"/>
          <w:i/>
        </w:rPr>
        <w:t>herglas werden 10 ml einer verdünnten</w:t>
      </w:r>
      <w:r w:rsidRPr="00DA07C3">
        <w:rPr>
          <w:rFonts w:ascii="Verdana" w:hAnsi="Verdana"/>
          <w:i/>
        </w:rPr>
        <w:t xml:space="preserve"> Natronlauge</w:t>
      </w:r>
      <w:r>
        <w:rPr>
          <w:rFonts w:ascii="Verdana" w:hAnsi="Verdana"/>
          <w:i/>
        </w:rPr>
        <w:t xml:space="preserve"> unbekannter Konzentration</w:t>
      </w:r>
      <w:r w:rsidRPr="00DA07C3">
        <w:rPr>
          <w:rFonts w:ascii="Verdana" w:hAnsi="Verdana"/>
          <w:i/>
        </w:rPr>
        <w:t xml:space="preserve"> gegeben und auf etwa 100ml au</w:t>
      </w:r>
      <w:r w:rsidRPr="00DA07C3">
        <w:rPr>
          <w:rFonts w:ascii="Verdana" w:hAnsi="Verdana"/>
          <w:i/>
        </w:rPr>
        <w:t>f</w:t>
      </w:r>
      <w:r w:rsidRPr="00DA07C3">
        <w:rPr>
          <w:rFonts w:ascii="Verdana" w:hAnsi="Verdana"/>
          <w:i/>
        </w:rPr>
        <w:t xml:space="preserve">gefüllt. Dazu werden einige Tropfen Universalindikatorlösung </w:t>
      </w:r>
      <w:r>
        <w:rPr>
          <w:rFonts w:ascii="Verdana" w:hAnsi="Verdana"/>
          <w:i/>
        </w:rPr>
        <w:t>bei</w:t>
      </w:r>
      <w:r w:rsidRPr="00DA07C3">
        <w:rPr>
          <w:rFonts w:ascii="Verdana" w:hAnsi="Verdana"/>
          <w:i/>
        </w:rPr>
        <w:t>gegeben.  Die B</w:t>
      </w:r>
      <w:r>
        <w:rPr>
          <w:rFonts w:ascii="Verdana" w:hAnsi="Verdana"/>
          <w:i/>
        </w:rPr>
        <w:t>ürette wird mit der 0,1 m</w:t>
      </w:r>
      <w:r w:rsidRPr="00DA07C3">
        <w:rPr>
          <w:rFonts w:ascii="Verdana" w:hAnsi="Verdana"/>
          <w:i/>
        </w:rPr>
        <w:t xml:space="preserve"> Salzsäu</w:t>
      </w:r>
      <w:r>
        <w:rPr>
          <w:rFonts w:ascii="Verdana" w:hAnsi="Verdana"/>
          <w:i/>
        </w:rPr>
        <w:t>re gefüllt. Der Inhalt des</w:t>
      </w:r>
      <w:r w:rsidRPr="00DA07C3">
        <w:rPr>
          <w:rFonts w:ascii="Verdana" w:hAnsi="Verdana"/>
          <w:i/>
        </w:rPr>
        <w:t xml:space="preserve"> Becherglas</w:t>
      </w:r>
      <w:r>
        <w:rPr>
          <w:rFonts w:ascii="Verdana" w:hAnsi="Verdana"/>
          <w:i/>
        </w:rPr>
        <w:t>es</w:t>
      </w:r>
      <w:r w:rsidRPr="00DA07C3">
        <w:rPr>
          <w:rFonts w:ascii="Verdana" w:hAnsi="Verdana"/>
          <w:i/>
        </w:rPr>
        <w:t xml:space="preserve"> wird mit Hilfe eines Magnetrührers gerührt. Vorsichtig lässt man die Salzsäure nun zu tropfen, bis der Neutralpunkt gerade erreicht ist. Das Volumen der verbrauchten Salzsä</w:t>
      </w:r>
      <w:r w:rsidRPr="00DA07C3">
        <w:rPr>
          <w:rFonts w:ascii="Verdana" w:hAnsi="Verdana"/>
          <w:i/>
        </w:rPr>
        <w:t>u</w:t>
      </w:r>
      <w:r w:rsidRPr="00DA07C3">
        <w:rPr>
          <w:rFonts w:ascii="Verdana" w:hAnsi="Verdana"/>
          <w:i/>
        </w:rPr>
        <w:t xml:space="preserve">re wird abgelesen. 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D841FF" w:rsidRDefault="00D841F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D841FF" w:rsidRPr="00D841FF" w:rsidRDefault="00D841FF" w:rsidP="00D841F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D841FF">
        <w:rPr>
          <w:rFonts w:ascii="Verdana" w:hAnsi="Verdana"/>
          <w:i/>
        </w:rPr>
        <w:t>Lösungen neutralisieren und über das Abwasser entsorgen</w:t>
      </w:r>
      <w:r w:rsidR="00A50A22">
        <w:rPr>
          <w:rFonts w:ascii="Verdana" w:hAnsi="Verdana"/>
          <w:i/>
        </w:rPr>
        <w:t>.</w:t>
      </w:r>
    </w:p>
    <w:p w:rsidR="00DA777A" w:rsidRDefault="00DA777A">
      <w:pPr>
        <w:rPr>
          <w:rFonts w:ascii="Verdana" w:hAnsi="Verdana"/>
          <w:b/>
        </w:rPr>
      </w:pPr>
    </w:p>
    <w:p w:rsidR="009F3BE7" w:rsidRDefault="009F3BE7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841F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50A2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D579D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2536825</wp:posOffset>
            </wp:positionH>
            <wp:positionV relativeFrom="margin">
              <wp:posOffset>2818765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D841FF">
        <w:rPr>
          <w:rFonts w:ascii="Verdana" w:hAnsi="Verdana"/>
          <w:b/>
        </w:rPr>
        <w:tab/>
        <w:t xml:space="preserve">      </w:t>
      </w:r>
      <w:r w:rsidR="001A2459">
        <w:rPr>
          <w:rFonts w:ascii="Verdana" w:hAnsi="Verdana"/>
          <w:i/>
        </w:rPr>
        <w:t xml:space="preserve">Schutzbrille tragen </w:t>
      </w:r>
      <w:r w:rsidR="00DA777A">
        <w:rPr>
          <w:rFonts w:ascii="Verdana" w:hAnsi="Verdana"/>
          <w:i/>
        </w:rPr>
        <w:t xml:space="preserve">     </w:t>
      </w:r>
    </w:p>
    <w:p w:rsidR="00382839" w:rsidRDefault="00382839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823AB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E21A52" w:rsidRPr="00823ABF">
        <w:rPr>
          <w:rFonts w:ascii="Verdana" w:hAnsi="Verdana"/>
          <w:i/>
        </w:rPr>
        <w:t xml:space="preserve">. </w:t>
      </w:r>
    </w:p>
    <w:p w:rsidR="00D841FF" w:rsidRDefault="00D841FF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A50A22" w:rsidRDefault="00A50A22">
      <w:pPr>
        <w:rPr>
          <w:rFonts w:ascii="Verdana" w:hAnsi="Verdana"/>
          <w:b/>
        </w:rPr>
      </w:pPr>
    </w:p>
    <w:p w:rsidR="00A50A22" w:rsidRPr="00D579D8" w:rsidRDefault="00A50A22" w:rsidP="00D579D8">
      <w:pPr>
        <w:rPr>
          <w:rFonts w:ascii="Verdana" w:hAnsi="Verdana"/>
          <w:sz w:val="16"/>
          <w:szCs w:val="16"/>
        </w:rPr>
      </w:pPr>
    </w:p>
    <w:p w:rsidR="00D579D8" w:rsidRDefault="00D579D8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D579D8">
        <w:rPr>
          <w:rFonts w:ascii="Verdana" w:hAnsi="Verdana"/>
          <w:sz w:val="16"/>
          <w:szCs w:val="16"/>
          <w:lang w:val="de-CH"/>
        </w:rPr>
        <w:t>H225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D30D27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</w:t>
      </w:r>
      <w:r w:rsidR="00D30D27">
        <w:rPr>
          <w:rFonts w:ascii="Verdana" w:hAnsi="Verdana"/>
          <w:sz w:val="16"/>
          <w:szCs w:val="16"/>
          <w:lang w:val="de-CH"/>
        </w:rPr>
        <w:t>290</w:t>
      </w:r>
      <w:r w:rsidR="00D30D27">
        <w:rPr>
          <w:rFonts w:ascii="Verdana" w:hAnsi="Verdana"/>
          <w:sz w:val="16"/>
          <w:szCs w:val="16"/>
          <w:lang w:val="de-CH"/>
        </w:rPr>
        <w:tab/>
      </w:r>
      <w:r w:rsidR="00D30D27">
        <w:rPr>
          <w:rFonts w:ascii="Verdana" w:hAnsi="Verdana"/>
          <w:sz w:val="16"/>
          <w:szCs w:val="16"/>
          <w:lang w:val="de-CH"/>
        </w:rPr>
        <w:tab/>
      </w:r>
      <w:r w:rsidR="00D30D27">
        <w:rPr>
          <w:rFonts w:ascii="Verdana" w:hAnsi="Verdana"/>
          <w:sz w:val="16"/>
          <w:szCs w:val="16"/>
          <w:lang w:val="de-CH"/>
        </w:rPr>
        <w:tab/>
      </w:r>
      <w:r w:rsidR="00D30D27" w:rsidRPr="00D30D27">
        <w:rPr>
          <w:rFonts w:ascii="Verdana" w:hAnsi="Verdana"/>
          <w:sz w:val="16"/>
          <w:szCs w:val="16"/>
          <w:lang w:val="de-CH"/>
        </w:rPr>
        <w:t>Kann gegenüber Metallen korrosiv sein.</w:t>
      </w:r>
    </w:p>
    <w:p w:rsidR="005723D4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H314</w:t>
      </w:r>
      <w:r w:rsidR="000B28A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D30D27">
        <w:rPr>
          <w:rFonts w:ascii="Verdana" w:hAnsi="Verdana"/>
          <w:sz w:val="16"/>
          <w:szCs w:val="16"/>
          <w:lang w:val="de-CH"/>
        </w:rPr>
        <w:t>Verursacht schwere Verätzungen der Haut und schwere Augenschäden.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5723D4" w:rsidRDefault="009F3BE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P2</w:t>
      </w:r>
      <w:r w:rsidR="00D579D8">
        <w:rPr>
          <w:rFonts w:ascii="Verdana" w:hAnsi="Verdana"/>
          <w:sz w:val="16"/>
          <w:szCs w:val="16"/>
          <w:lang w:val="de-CH"/>
        </w:rPr>
        <w:t>10</w:t>
      </w:r>
      <w:r w:rsidR="00D579D8">
        <w:rPr>
          <w:rFonts w:ascii="Verdana" w:hAnsi="Verdana"/>
          <w:sz w:val="16"/>
          <w:szCs w:val="16"/>
          <w:lang w:val="de-CH"/>
        </w:rPr>
        <w:tab/>
      </w:r>
      <w:r w:rsidR="00D579D8">
        <w:rPr>
          <w:rFonts w:ascii="Verdana" w:hAnsi="Verdana"/>
          <w:sz w:val="16"/>
          <w:szCs w:val="16"/>
          <w:lang w:val="de-CH"/>
        </w:rPr>
        <w:tab/>
      </w:r>
      <w:r w:rsidR="00D579D8">
        <w:rPr>
          <w:rFonts w:ascii="Verdana" w:hAnsi="Verdana"/>
          <w:sz w:val="16"/>
          <w:szCs w:val="16"/>
          <w:lang w:val="de-CH"/>
        </w:rPr>
        <w:tab/>
      </w:r>
      <w:r w:rsidR="00D579D8" w:rsidRPr="00693B6E">
        <w:rPr>
          <w:rFonts w:ascii="Verdana" w:hAnsi="Verdana"/>
          <w:sz w:val="16"/>
          <w:szCs w:val="16"/>
          <w:lang w:eastAsia="zh-CN"/>
        </w:rPr>
        <w:t>Von Hitze</w:t>
      </w:r>
      <w:r w:rsidR="00D579D8">
        <w:rPr>
          <w:rFonts w:ascii="Verdana" w:hAnsi="Verdana"/>
          <w:sz w:val="16"/>
          <w:szCs w:val="16"/>
          <w:lang w:eastAsia="zh-CN"/>
        </w:rPr>
        <w:t>, heiß</w:t>
      </w:r>
      <w:r w:rsidR="00D579D8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D579D8" w:rsidRDefault="00D579D8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P233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D579D8" w:rsidRDefault="00D579D8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579D8">
        <w:rPr>
          <w:rFonts w:ascii="Verdana" w:hAnsi="Verdana"/>
          <w:sz w:val="16"/>
          <w:szCs w:val="16"/>
          <w:lang w:val="de-CH"/>
        </w:rPr>
        <w:t>P234</w:t>
      </w:r>
      <w:r w:rsidRPr="00D579D8">
        <w:rPr>
          <w:rFonts w:ascii="Verdana" w:hAnsi="Verdana"/>
          <w:sz w:val="16"/>
          <w:szCs w:val="16"/>
          <w:lang w:val="de-CH"/>
        </w:rPr>
        <w:tab/>
      </w:r>
      <w:r w:rsidRPr="00D579D8">
        <w:rPr>
          <w:rFonts w:ascii="Verdana" w:hAnsi="Verdana"/>
          <w:sz w:val="16"/>
          <w:szCs w:val="16"/>
          <w:lang w:val="de-CH"/>
        </w:rPr>
        <w:tab/>
      </w:r>
      <w:r w:rsidRPr="00D579D8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Nur im Originalbehälter aufbewahren.</w:t>
      </w:r>
    </w:p>
    <w:p w:rsidR="009616A4" w:rsidRP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P280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Schutzhandschuhe / Schutzkleidun</w:t>
      </w:r>
      <w:r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9616A4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D30D27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P301+330+331</w:t>
      </w:r>
      <w:r w:rsidR="009616A4" w:rsidRPr="009616A4">
        <w:rPr>
          <w:rFonts w:ascii="Verdana" w:hAnsi="Verdana"/>
          <w:sz w:val="16"/>
          <w:szCs w:val="16"/>
          <w:lang w:val="de-CH"/>
        </w:rPr>
        <w:tab/>
      </w:r>
      <w:r w:rsid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P305+351+338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Kontaktlinsen nach Möglichkeit entfernen. Weiter spülen.</w:t>
      </w:r>
    </w:p>
    <w:p w:rsidR="0009707E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P309+310</w:t>
      </w:r>
      <w:r w:rsidR="0009707E">
        <w:rPr>
          <w:rFonts w:ascii="Verdana" w:hAnsi="Verdana"/>
          <w:sz w:val="16"/>
          <w:szCs w:val="16"/>
          <w:lang w:val="de-CH"/>
        </w:rPr>
        <w:tab/>
      </w:r>
      <w:r w:rsidR="0009707E">
        <w:rPr>
          <w:rFonts w:ascii="Verdana" w:hAnsi="Verdana"/>
          <w:sz w:val="16"/>
          <w:szCs w:val="16"/>
          <w:lang w:val="de-CH"/>
        </w:rPr>
        <w:tab/>
      </w:r>
      <w:r w:rsidR="00D841FF" w:rsidRPr="00D841FF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D579D8" w:rsidRDefault="00D579D8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579D8">
        <w:rPr>
          <w:rFonts w:ascii="Verdana" w:hAnsi="Verdana"/>
          <w:sz w:val="16"/>
          <w:szCs w:val="16"/>
          <w:lang w:val="de-CH"/>
        </w:rPr>
        <w:t>P370+378a</w:t>
      </w:r>
      <w:r w:rsidRPr="00D579D8">
        <w:rPr>
          <w:rFonts w:ascii="Verdana" w:hAnsi="Verdana"/>
          <w:sz w:val="16"/>
          <w:szCs w:val="16"/>
          <w:lang w:val="de-CH"/>
        </w:rPr>
        <w:tab/>
      </w:r>
      <w:r w:rsidRPr="00D579D8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Brand: Wasser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9F3BE7" w:rsidRDefault="009F3BE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P390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zur Vermeidung von Materialschäden aufnehmen.</w:t>
      </w:r>
    </w:p>
    <w:p w:rsidR="00D579D8" w:rsidRPr="009616A4" w:rsidRDefault="00D579D8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579D8">
        <w:rPr>
          <w:rFonts w:ascii="Verdana" w:hAnsi="Verdana"/>
          <w:sz w:val="16"/>
          <w:szCs w:val="16"/>
          <w:lang w:val="de-CH"/>
        </w:rPr>
        <w:t>P403+235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E21A52" w:rsidRDefault="00E21A52">
      <w:pPr>
        <w:rPr>
          <w:rFonts w:ascii="Verdana" w:hAnsi="Verdana"/>
        </w:rPr>
      </w:pPr>
    </w:p>
    <w:p w:rsidR="004661FE" w:rsidRDefault="004661FE">
      <w:pPr>
        <w:rPr>
          <w:rFonts w:ascii="Verdana" w:hAnsi="Verdana"/>
        </w:rPr>
      </w:pPr>
    </w:p>
    <w:p w:rsidR="00D579D8" w:rsidRDefault="00D579D8">
      <w:pPr>
        <w:rPr>
          <w:rFonts w:ascii="Verdana" w:hAnsi="Verdana"/>
        </w:rPr>
      </w:pPr>
    </w:p>
    <w:p w:rsidR="00D579D8" w:rsidRDefault="00D579D8">
      <w:pPr>
        <w:rPr>
          <w:rFonts w:ascii="Verdana" w:hAnsi="Verdana"/>
        </w:rPr>
      </w:pPr>
    </w:p>
    <w:p w:rsidR="00D579D8" w:rsidRDefault="00D579D8">
      <w:pPr>
        <w:rPr>
          <w:rFonts w:ascii="Verdana" w:hAnsi="Verdana"/>
        </w:rPr>
      </w:pPr>
    </w:p>
    <w:p w:rsidR="00D579D8" w:rsidRDefault="00D579D8">
      <w:pPr>
        <w:rPr>
          <w:rFonts w:ascii="Verdana" w:hAnsi="Verdana"/>
        </w:rPr>
      </w:pPr>
    </w:p>
    <w:p w:rsidR="00D579D8" w:rsidRDefault="00D579D8">
      <w:pPr>
        <w:rPr>
          <w:rFonts w:ascii="Verdana" w:hAnsi="Verdana"/>
        </w:rPr>
      </w:pPr>
    </w:p>
    <w:p w:rsidR="00D579D8" w:rsidRDefault="00D579D8">
      <w:pPr>
        <w:rPr>
          <w:rFonts w:ascii="Verdana" w:hAnsi="Verdana"/>
        </w:rPr>
      </w:pPr>
    </w:p>
    <w:p w:rsidR="00D579D8" w:rsidRDefault="00D579D8">
      <w:pPr>
        <w:rPr>
          <w:rFonts w:ascii="Verdana" w:hAnsi="Verdana"/>
        </w:rPr>
      </w:pPr>
    </w:p>
    <w:p w:rsidR="00D579D8" w:rsidRDefault="00D579D8">
      <w:pPr>
        <w:rPr>
          <w:rFonts w:ascii="Verdana" w:hAnsi="Verdana"/>
        </w:rPr>
      </w:pPr>
    </w:p>
    <w:p w:rsidR="00D579D8" w:rsidRDefault="00D579D8">
      <w:pPr>
        <w:rPr>
          <w:rFonts w:ascii="Verdana" w:hAnsi="Verdana"/>
        </w:rPr>
      </w:pPr>
    </w:p>
    <w:p w:rsidR="00D841FF" w:rsidRPr="0096297C" w:rsidRDefault="00D841F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143396" w:rsidRDefault="00143396">
      <w:pPr>
        <w:rPr>
          <w:rFonts w:ascii="Arial" w:hAnsi="Arial"/>
          <w:sz w:val="24"/>
          <w:lang w:val="de-CH"/>
        </w:rPr>
      </w:pPr>
    </w:p>
    <w:p w:rsidR="00D579D8" w:rsidRDefault="00D579D8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4661FE" w:rsidRDefault="004661FE">
      <w:pPr>
        <w:rPr>
          <w:rFonts w:ascii="Arial" w:hAnsi="Arial"/>
          <w:sz w:val="24"/>
          <w:lang w:val="de-CH"/>
        </w:rPr>
      </w:pPr>
    </w:p>
    <w:p w:rsidR="000E4C38" w:rsidRPr="00691402" w:rsidRDefault="000E4C38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E21A52" w:rsidRDefault="00E21A52">
      <w:pPr>
        <w:rPr>
          <w:rFonts w:ascii="Verdana" w:hAnsi="Verdana"/>
        </w:rPr>
      </w:pPr>
    </w:p>
    <w:p w:rsidR="000E4C38" w:rsidRDefault="000E4C38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D579D8" w:rsidRDefault="00D579D8">
      <w:pPr>
        <w:rPr>
          <w:rFonts w:ascii="Verdana" w:hAnsi="Verdana"/>
        </w:rPr>
      </w:pPr>
    </w:p>
    <w:p w:rsidR="004661FE" w:rsidRDefault="004661FE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D579D8" w:rsidRDefault="00D579D8" w:rsidP="00B150DF">
      <w:pPr>
        <w:rPr>
          <w:rFonts w:ascii="Verdana" w:hAnsi="Verdana"/>
          <w:sz w:val="16"/>
          <w:szCs w:val="16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A492D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9E" w:rsidRDefault="00D76C9E" w:rsidP="00015609">
      <w:r>
        <w:separator/>
      </w:r>
    </w:p>
  </w:endnote>
  <w:endnote w:type="continuationSeparator" w:id="0">
    <w:p w:rsidR="00D76C9E" w:rsidRDefault="00D76C9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7" w:rsidRPr="00382839" w:rsidRDefault="00D30D27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D30D27" w:rsidRPr="00382839" w:rsidRDefault="00D30D27">
    <w:pPr>
      <w:pStyle w:val="Fuzeile"/>
      <w:rPr>
        <w:sz w:val="16"/>
        <w:szCs w:val="16"/>
      </w:rPr>
    </w:pPr>
  </w:p>
  <w:p w:rsidR="00D30D27" w:rsidRDefault="00D30D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9E" w:rsidRDefault="00D76C9E" w:rsidP="00015609">
      <w:r>
        <w:separator/>
      </w:r>
    </w:p>
  </w:footnote>
  <w:footnote w:type="continuationSeparator" w:id="0">
    <w:p w:rsidR="00D76C9E" w:rsidRDefault="00D76C9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7" w:rsidRDefault="00D30D27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0D27" w:rsidRDefault="00AC4467" w:rsidP="00015609">
    <w:pPr>
      <w:pStyle w:val="Kopfzeile"/>
      <w:tabs>
        <w:tab w:val="clear" w:pos="4536"/>
        <w:tab w:val="clear" w:pos="9072"/>
        <w:tab w:val="left" w:pos="8445"/>
      </w:tabs>
    </w:pPr>
    <w:r w:rsidRPr="00AC4467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C4467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AC4467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D30D2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31CE"/>
    <w:rsid w:val="001F4B5D"/>
    <w:rsid w:val="00221ED2"/>
    <w:rsid w:val="002328B6"/>
    <w:rsid w:val="0024642C"/>
    <w:rsid w:val="002579DB"/>
    <w:rsid w:val="00260D73"/>
    <w:rsid w:val="00266018"/>
    <w:rsid w:val="002A3BB0"/>
    <w:rsid w:val="002C07A8"/>
    <w:rsid w:val="002C1D5C"/>
    <w:rsid w:val="002D2B86"/>
    <w:rsid w:val="002E3A90"/>
    <w:rsid w:val="002E3B1E"/>
    <w:rsid w:val="00327DA0"/>
    <w:rsid w:val="003372CF"/>
    <w:rsid w:val="00350993"/>
    <w:rsid w:val="00353ED7"/>
    <w:rsid w:val="00363754"/>
    <w:rsid w:val="00366065"/>
    <w:rsid w:val="0037363D"/>
    <w:rsid w:val="00382839"/>
    <w:rsid w:val="00394555"/>
    <w:rsid w:val="00397845"/>
    <w:rsid w:val="003A3231"/>
    <w:rsid w:val="003A3BDB"/>
    <w:rsid w:val="003A4B30"/>
    <w:rsid w:val="003B0D73"/>
    <w:rsid w:val="003C1F6C"/>
    <w:rsid w:val="003C6E9E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91344"/>
    <w:rsid w:val="00495A76"/>
    <w:rsid w:val="004A0699"/>
    <w:rsid w:val="004A492D"/>
    <w:rsid w:val="004B4FF4"/>
    <w:rsid w:val="004B5849"/>
    <w:rsid w:val="004D5A9F"/>
    <w:rsid w:val="004F50E9"/>
    <w:rsid w:val="004F5314"/>
    <w:rsid w:val="00523D26"/>
    <w:rsid w:val="005643F9"/>
    <w:rsid w:val="005723D4"/>
    <w:rsid w:val="005759A4"/>
    <w:rsid w:val="00583E61"/>
    <w:rsid w:val="005A207F"/>
    <w:rsid w:val="005A4729"/>
    <w:rsid w:val="005D0F1C"/>
    <w:rsid w:val="005E2480"/>
    <w:rsid w:val="00604CE2"/>
    <w:rsid w:val="006133D7"/>
    <w:rsid w:val="0061614F"/>
    <w:rsid w:val="006235DF"/>
    <w:rsid w:val="00624D80"/>
    <w:rsid w:val="006263D1"/>
    <w:rsid w:val="00637452"/>
    <w:rsid w:val="006442F0"/>
    <w:rsid w:val="00655BBC"/>
    <w:rsid w:val="00691402"/>
    <w:rsid w:val="006E514C"/>
    <w:rsid w:val="006F2888"/>
    <w:rsid w:val="006F371F"/>
    <w:rsid w:val="006F5584"/>
    <w:rsid w:val="006F6624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441A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35B2D"/>
    <w:rsid w:val="00935CF4"/>
    <w:rsid w:val="00940415"/>
    <w:rsid w:val="009550B8"/>
    <w:rsid w:val="009616A4"/>
    <w:rsid w:val="00962356"/>
    <w:rsid w:val="0096297C"/>
    <w:rsid w:val="00964841"/>
    <w:rsid w:val="0097293F"/>
    <w:rsid w:val="009777F9"/>
    <w:rsid w:val="00993BD6"/>
    <w:rsid w:val="009B4CC7"/>
    <w:rsid w:val="009C7CC5"/>
    <w:rsid w:val="009D50A3"/>
    <w:rsid w:val="009D57AA"/>
    <w:rsid w:val="009D5943"/>
    <w:rsid w:val="009D6827"/>
    <w:rsid w:val="009F3BE7"/>
    <w:rsid w:val="009F50EC"/>
    <w:rsid w:val="009F52EC"/>
    <w:rsid w:val="00A0420A"/>
    <w:rsid w:val="00A054AB"/>
    <w:rsid w:val="00A1039B"/>
    <w:rsid w:val="00A1642E"/>
    <w:rsid w:val="00A33993"/>
    <w:rsid w:val="00A427C9"/>
    <w:rsid w:val="00A451E5"/>
    <w:rsid w:val="00A505D4"/>
    <w:rsid w:val="00A50A22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C2676"/>
    <w:rsid w:val="00AC37A7"/>
    <w:rsid w:val="00AC4467"/>
    <w:rsid w:val="00AC60B9"/>
    <w:rsid w:val="00AE4E6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10BE0"/>
    <w:rsid w:val="00D12FDC"/>
    <w:rsid w:val="00D20C5C"/>
    <w:rsid w:val="00D235EF"/>
    <w:rsid w:val="00D27A61"/>
    <w:rsid w:val="00D30D27"/>
    <w:rsid w:val="00D566D8"/>
    <w:rsid w:val="00D579D8"/>
    <w:rsid w:val="00D65C9C"/>
    <w:rsid w:val="00D76C9E"/>
    <w:rsid w:val="00D841FF"/>
    <w:rsid w:val="00D906C4"/>
    <w:rsid w:val="00DA05BF"/>
    <w:rsid w:val="00DA07C3"/>
    <w:rsid w:val="00DA0844"/>
    <w:rsid w:val="00DA777A"/>
    <w:rsid w:val="00DC32FF"/>
    <w:rsid w:val="00DD3B60"/>
    <w:rsid w:val="00DE7AF4"/>
    <w:rsid w:val="00E036A9"/>
    <w:rsid w:val="00E167D3"/>
    <w:rsid w:val="00E21A52"/>
    <w:rsid w:val="00E22334"/>
    <w:rsid w:val="00E23B7A"/>
    <w:rsid w:val="00E541C2"/>
    <w:rsid w:val="00E572E1"/>
    <w:rsid w:val="00EA02BC"/>
    <w:rsid w:val="00EA5663"/>
    <w:rsid w:val="00EA79C0"/>
    <w:rsid w:val="00EB007D"/>
    <w:rsid w:val="00EC11B3"/>
    <w:rsid w:val="00F036E5"/>
    <w:rsid w:val="00F068ED"/>
    <w:rsid w:val="00F122A5"/>
    <w:rsid w:val="00F307C9"/>
    <w:rsid w:val="00F30D44"/>
    <w:rsid w:val="00F32392"/>
    <w:rsid w:val="00F33F91"/>
    <w:rsid w:val="00F616F0"/>
    <w:rsid w:val="00F70AA6"/>
    <w:rsid w:val="00F81050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F3F6-19C7-42AB-B7BF-9A88A7C8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2015-10-12T16:09:00Z</dcterms:created>
  <dcterms:modified xsi:type="dcterms:W3CDTF">2015-10-16T10:36:00Z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