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EA5C8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AC7DAD">
        <w:rPr>
          <w:rFonts w:ascii="Verdana" w:hAnsi="Verdana"/>
          <w:b/>
        </w:rPr>
        <w:t>Zeichengröße</w:t>
      </w:r>
      <w:r w:rsidR="00E72C89">
        <w:rPr>
          <w:rFonts w:ascii="Verdana" w:hAnsi="Verdana"/>
          <w:b/>
        </w:rPr>
        <w:t xml:space="preserve"> und Löslichkeitsgeschwindigkeit (2.4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E72C89">
        <w:rPr>
          <w:rFonts w:ascii="Verdana" w:hAnsi="Verdana"/>
          <w:b/>
        </w:rPr>
        <w:t>28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EA5C82">
      <w:pPr>
        <w:rPr>
          <w:rFonts w:ascii="Arial" w:hAnsi="Arial"/>
          <w:sz w:val="24"/>
        </w:rPr>
      </w:pPr>
      <w:r w:rsidRPr="00EA5C82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4D5A9F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EA5C82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EA5C82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4D5A9F" w:rsidRDefault="0084175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276"/>
        <w:gridCol w:w="1701"/>
        <w:gridCol w:w="1701"/>
        <w:gridCol w:w="992"/>
        <w:gridCol w:w="1701"/>
        <w:gridCol w:w="935"/>
      </w:tblGrid>
      <w:tr w:rsidR="00D906C4" w:rsidTr="00841751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906C4" w:rsidRPr="00AC60B9" w:rsidTr="00841751">
        <w:trPr>
          <w:cnfStyle w:val="000000100000"/>
          <w:trHeight w:val="1133"/>
        </w:trPr>
        <w:tc>
          <w:tcPr>
            <w:cnfStyle w:val="001000000000"/>
            <w:tcW w:w="2376" w:type="dxa"/>
          </w:tcPr>
          <w:p w:rsidR="00DC32FF" w:rsidRDefault="00D906C4" w:rsidP="00E72C8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</w:t>
            </w:r>
            <w:r w:rsidR="00E72C89">
              <w:rPr>
                <w:rFonts w:ascii="Verdana" w:hAnsi="Verdana"/>
                <w:b w:val="0"/>
              </w:rPr>
              <w:t>dichromat</w:t>
            </w:r>
          </w:p>
          <w:p w:rsidR="0021127C" w:rsidRPr="0021127C" w:rsidRDefault="0021127C" w:rsidP="00E72C89">
            <w:pPr>
              <w:rPr>
                <w:rFonts w:ascii="Verdana" w:hAnsi="Verdana"/>
                <w:b w:val="0"/>
                <w:sz w:val="12"/>
                <w:szCs w:val="12"/>
              </w:rPr>
            </w:pPr>
            <w:r>
              <w:rPr>
                <w:rFonts w:ascii="Verdana" w:hAnsi="Verdana"/>
                <w:b w:val="0"/>
                <w:sz w:val="12"/>
                <w:szCs w:val="12"/>
              </w:rPr>
              <w:t>Krebserzeugend (</w:t>
            </w:r>
            <w:r w:rsidRPr="0021127C">
              <w:rPr>
                <w:rFonts w:ascii="Verdana" w:hAnsi="Verdana"/>
                <w:b w:val="0"/>
                <w:sz w:val="12"/>
                <w:szCs w:val="12"/>
              </w:rPr>
              <w:t>K2)</w:t>
            </w:r>
          </w:p>
          <w:p w:rsidR="0021127C" w:rsidRPr="0021127C" w:rsidRDefault="0021127C" w:rsidP="00E72C89">
            <w:pPr>
              <w:rPr>
                <w:rFonts w:ascii="Verdana" w:hAnsi="Verdana"/>
                <w:b w:val="0"/>
                <w:sz w:val="12"/>
                <w:szCs w:val="12"/>
              </w:rPr>
            </w:pPr>
            <w:r>
              <w:rPr>
                <w:rFonts w:ascii="Verdana" w:hAnsi="Verdana"/>
                <w:b w:val="0"/>
                <w:sz w:val="12"/>
                <w:szCs w:val="12"/>
              </w:rPr>
              <w:t>Erbgutverändernd (</w:t>
            </w:r>
            <w:r w:rsidRPr="0021127C">
              <w:rPr>
                <w:rFonts w:ascii="Verdana" w:hAnsi="Verdana"/>
                <w:b w:val="0"/>
                <w:sz w:val="12"/>
                <w:szCs w:val="12"/>
              </w:rPr>
              <w:t>M2)</w:t>
            </w:r>
          </w:p>
          <w:p w:rsidR="0021127C" w:rsidRPr="0021127C" w:rsidRDefault="0021127C" w:rsidP="00E72C89">
            <w:pPr>
              <w:rPr>
                <w:rFonts w:ascii="Verdana" w:hAnsi="Verdana"/>
                <w:b w:val="0"/>
                <w:sz w:val="12"/>
                <w:szCs w:val="12"/>
              </w:rPr>
            </w:pPr>
            <w:r w:rsidRPr="0021127C">
              <w:rPr>
                <w:rFonts w:ascii="Verdana" w:hAnsi="Verdana"/>
                <w:b w:val="0"/>
                <w:sz w:val="12"/>
                <w:szCs w:val="12"/>
              </w:rPr>
              <w:t>Fortpflanzungsgefährdend (RF2)</w:t>
            </w:r>
          </w:p>
          <w:p w:rsidR="0021127C" w:rsidRPr="0021127C" w:rsidRDefault="0021127C" w:rsidP="00E72C89">
            <w:pPr>
              <w:rPr>
                <w:rFonts w:ascii="Verdana" w:hAnsi="Verdana"/>
                <w:b w:val="0"/>
                <w:sz w:val="12"/>
                <w:szCs w:val="12"/>
              </w:rPr>
            </w:pPr>
            <w:r>
              <w:rPr>
                <w:rFonts w:ascii="Verdana" w:hAnsi="Verdana"/>
                <w:b w:val="0"/>
                <w:sz w:val="12"/>
                <w:szCs w:val="12"/>
              </w:rPr>
              <w:t>Fruchtschädigend (</w:t>
            </w:r>
            <w:r w:rsidR="00FD3190">
              <w:rPr>
                <w:rFonts w:ascii="Verdana" w:hAnsi="Verdana"/>
                <w:b w:val="0"/>
                <w:sz w:val="12"/>
                <w:szCs w:val="12"/>
              </w:rPr>
              <w:t>RF</w:t>
            </w:r>
            <w:r w:rsidRPr="0021127C">
              <w:rPr>
                <w:rFonts w:ascii="Verdana" w:hAnsi="Verdana"/>
                <w:b w:val="0"/>
                <w:sz w:val="12"/>
                <w:szCs w:val="12"/>
              </w:rPr>
              <w:t>2)</w:t>
            </w:r>
          </w:p>
          <w:p w:rsidR="0021127C" w:rsidRPr="0021127C" w:rsidRDefault="0021127C" w:rsidP="00E72C89">
            <w:pPr>
              <w:rPr>
                <w:rFonts w:ascii="Verdana" w:hAnsi="Verdana"/>
                <w:b w:val="0"/>
                <w:sz w:val="12"/>
                <w:szCs w:val="12"/>
              </w:rPr>
            </w:pPr>
            <w:r w:rsidRPr="0021127C">
              <w:rPr>
                <w:rFonts w:ascii="Verdana" w:hAnsi="Verdana"/>
                <w:b w:val="0"/>
                <w:sz w:val="12"/>
                <w:szCs w:val="12"/>
              </w:rPr>
              <w:t>Gefahr der Hautresorption</w:t>
            </w:r>
          </w:p>
          <w:p w:rsidR="0021127C" w:rsidRPr="0021127C" w:rsidRDefault="0021127C" w:rsidP="00E72C8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1127C">
              <w:rPr>
                <w:rFonts w:ascii="Verdana" w:hAnsi="Verdana"/>
                <w:b w:val="0"/>
                <w:sz w:val="12"/>
                <w:szCs w:val="12"/>
              </w:rPr>
              <w:t>Gefahr der Sensibilisierung (Allergisierung)</w:t>
            </w:r>
          </w:p>
        </w:tc>
        <w:tc>
          <w:tcPr>
            <w:tcW w:w="1276" w:type="dxa"/>
          </w:tcPr>
          <w:p w:rsidR="00DC32FF" w:rsidRPr="004D5A9F" w:rsidRDefault="00B212F4">
            <w:pPr>
              <w:cnfStyle w:val="0000001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936DB6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652780</wp:posOffset>
                  </wp:positionH>
                  <wp:positionV relativeFrom="margin">
                    <wp:posOffset>55245</wp:posOffset>
                  </wp:positionV>
                  <wp:extent cx="321310" cy="323850"/>
                  <wp:effectExtent l="19050" t="0" r="2540" b="0"/>
                  <wp:wrapNone/>
                  <wp:docPr id="8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328930</wp:posOffset>
                  </wp:positionH>
                  <wp:positionV relativeFrom="margin">
                    <wp:posOffset>55245</wp:posOffset>
                  </wp:positionV>
                  <wp:extent cx="321310" cy="323850"/>
                  <wp:effectExtent l="19050" t="0" r="2540" b="0"/>
                  <wp:wrapNone/>
                  <wp:docPr id="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55245</wp:posOffset>
                  </wp:positionV>
                  <wp:extent cx="321310" cy="323850"/>
                  <wp:effectExtent l="19050" t="0" r="2540" b="0"/>
                  <wp:wrapNone/>
                  <wp:docPr id="7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449580</wp:posOffset>
                  </wp:positionH>
                  <wp:positionV relativeFrom="margin">
                    <wp:posOffset>379095</wp:posOffset>
                  </wp:positionV>
                  <wp:extent cx="321945" cy="323850"/>
                  <wp:effectExtent l="19050" t="0" r="1905" b="0"/>
                  <wp:wrapNone/>
                  <wp:docPr id="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125730</wp:posOffset>
                  </wp:positionH>
                  <wp:positionV relativeFrom="margin">
                    <wp:posOffset>379095</wp:posOffset>
                  </wp:positionV>
                  <wp:extent cx="321310" cy="323850"/>
                  <wp:effectExtent l="19050" t="0" r="2540" b="0"/>
                  <wp:wrapNone/>
                  <wp:docPr id="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4D5A9F" w:rsidP="00E72C8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E72C89">
              <w:rPr>
                <w:rFonts w:ascii="Verdana" w:hAnsi="Verdana"/>
                <w:sz w:val="16"/>
                <w:szCs w:val="16"/>
              </w:rPr>
              <w:t>340 H350 H360Df H272 H330 H301 H312 H372 H314 H334 H317 H410</w:t>
            </w:r>
          </w:p>
        </w:tc>
        <w:tc>
          <w:tcPr>
            <w:tcW w:w="992" w:type="dxa"/>
          </w:tcPr>
          <w:p w:rsidR="00DC32FF" w:rsidRPr="00AC60B9" w:rsidRDefault="004D5A9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DC32FF" w:rsidRPr="00AC60B9" w:rsidRDefault="004D5A9F" w:rsidP="00E72C8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E72C89">
              <w:rPr>
                <w:rFonts w:ascii="Verdana" w:hAnsi="Verdana"/>
                <w:sz w:val="16"/>
                <w:szCs w:val="16"/>
              </w:rPr>
              <w:t>201 P280 P301+330+331 P305+351+338 P304+341 P308+313</w:t>
            </w:r>
          </w:p>
        </w:tc>
        <w:tc>
          <w:tcPr>
            <w:tcW w:w="935" w:type="dxa"/>
          </w:tcPr>
          <w:p w:rsidR="00DC32FF" w:rsidRPr="00AC60B9" w:rsidRDefault="00E72C8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72C89" w:rsidRPr="00AC60B9" w:rsidTr="00AC7DAD">
        <w:trPr>
          <w:trHeight w:val="840"/>
        </w:trPr>
        <w:tc>
          <w:tcPr>
            <w:cnfStyle w:val="001000000000"/>
            <w:tcW w:w="2376" w:type="dxa"/>
          </w:tcPr>
          <w:p w:rsidR="00E72C89" w:rsidRDefault="00E72C89" w:rsidP="00112FA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Kupfersulfat-Pentahydrat</w:t>
            </w:r>
          </w:p>
          <w:p w:rsidR="00E72C89" w:rsidRPr="00E72C89" w:rsidRDefault="00E72C89" w:rsidP="00112FA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72C89">
              <w:rPr>
                <w:rFonts w:ascii="Verdana" w:hAnsi="Verdana"/>
                <w:b w:val="0"/>
                <w:sz w:val="16"/>
                <w:szCs w:val="16"/>
              </w:rPr>
              <w:t>(mögli</w:t>
            </w:r>
            <w:r>
              <w:rPr>
                <w:rFonts w:ascii="Verdana" w:hAnsi="Verdana"/>
                <w:b w:val="0"/>
                <w:sz w:val="16"/>
                <w:szCs w:val="16"/>
              </w:rPr>
              <w:t>cher</w:t>
            </w:r>
            <w:r w:rsidRPr="00E72C89">
              <w:rPr>
                <w:rFonts w:ascii="Verdana" w:hAnsi="Verdana"/>
                <w:b w:val="0"/>
                <w:sz w:val="16"/>
                <w:szCs w:val="16"/>
              </w:rPr>
              <w:t xml:space="preserve"> Ersatzstoff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72C89" w:rsidRPr="00F33F91" w:rsidRDefault="00E72C89" w:rsidP="00112FA8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E72C89" w:rsidRPr="00AC60B9" w:rsidRDefault="00936DB6" w:rsidP="00112FA8">
            <w:pPr>
              <w:cnfStyle w:val="0000000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538480</wp:posOffset>
                  </wp:positionH>
                  <wp:positionV relativeFrom="margin">
                    <wp:posOffset>84455</wp:posOffset>
                  </wp:positionV>
                  <wp:extent cx="321945" cy="323850"/>
                  <wp:effectExtent l="19050" t="0" r="1905" b="0"/>
                  <wp:wrapNone/>
                  <wp:docPr id="1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125730</wp:posOffset>
                  </wp:positionH>
                  <wp:positionV relativeFrom="margin">
                    <wp:posOffset>84455</wp:posOffset>
                  </wp:positionV>
                  <wp:extent cx="321310" cy="323850"/>
                  <wp:effectExtent l="19050" t="0" r="2540" b="0"/>
                  <wp:wrapNone/>
                  <wp:docPr id="1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72C89" w:rsidRPr="00AC60B9" w:rsidRDefault="00E72C89" w:rsidP="00112F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H319 H410</w:t>
            </w:r>
          </w:p>
        </w:tc>
        <w:tc>
          <w:tcPr>
            <w:tcW w:w="992" w:type="dxa"/>
          </w:tcPr>
          <w:p w:rsidR="00E72C89" w:rsidRPr="00AC60B9" w:rsidRDefault="00E72C89" w:rsidP="00112F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E72C89" w:rsidRPr="00AC60B9" w:rsidRDefault="00E72C89" w:rsidP="00112F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P302+352 P305+351+338</w:t>
            </w:r>
          </w:p>
        </w:tc>
        <w:tc>
          <w:tcPr>
            <w:tcW w:w="935" w:type="dxa"/>
          </w:tcPr>
          <w:p w:rsidR="00E72C89" w:rsidRPr="00AC60B9" w:rsidRDefault="00E72C89" w:rsidP="00112F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41751" w:rsidRPr="00AC60B9" w:rsidTr="00AC7DAD">
        <w:trPr>
          <w:cnfStyle w:val="000000100000"/>
          <w:trHeight w:val="824"/>
        </w:trPr>
        <w:tc>
          <w:tcPr>
            <w:cnfStyle w:val="001000000000"/>
            <w:tcW w:w="2376" w:type="dxa"/>
          </w:tcPr>
          <w:p w:rsidR="00841751" w:rsidRDefault="00841751" w:rsidP="00112FA8">
            <w:pPr>
              <w:rPr>
                <w:rFonts w:ascii="Verdana" w:hAnsi="Verdana"/>
                <w:b w:val="0"/>
              </w:rPr>
            </w:pPr>
            <w:r w:rsidRPr="00841751">
              <w:rPr>
                <w:rFonts w:ascii="Verdana" w:hAnsi="Verdana"/>
                <w:b w:val="0"/>
              </w:rPr>
              <w:t>Natriumhydrogen</w:t>
            </w:r>
            <w:r>
              <w:rPr>
                <w:rFonts w:ascii="Verdana" w:hAnsi="Verdana"/>
                <w:b w:val="0"/>
              </w:rPr>
              <w:t>-</w:t>
            </w:r>
            <w:r w:rsidRPr="00841751">
              <w:rPr>
                <w:rFonts w:ascii="Verdana" w:hAnsi="Verdana"/>
                <w:b w:val="0"/>
              </w:rPr>
              <w:t>sulfitlösung</w:t>
            </w:r>
          </w:p>
          <w:p w:rsidR="00841751" w:rsidRPr="00841751" w:rsidRDefault="00841751" w:rsidP="00112FA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41751">
              <w:rPr>
                <w:rFonts w:ascii="Verdana" w:hAnsi="Verdana"/>
                <w:b w:val="0"/>
                <w:sz w:val="16"/>
                <w:szCs w:val="16"/>
              </w:rPr>
              <w:t>(zur Entsorgung)</w:t>
            </w:r>
          </w:p>
        </w:tc>
        <w:tc>
          <w:tcPr>
            <w:tcW w:w="1276" w:type="dxa"/>
          </w:tcPr>
          <w:p w:rsidR="00841751" w:rsidRDefault="00841751" w:rsidP="00112FA8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841751" w:rsidRDefault="00841751" w:rsidP="00112FA8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84175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328930</wp:posOffset>
                  </wp:positionH>
                  <wp:positionV relativeFrom="margin">
                    <wp:posOffset>78105</wp:posOffset>
                  </wp:positionV>
                  <wp:extent cx="321310" cy="323850"/>
                  <wp:effectExtent l="19050" t="0" r="2540" b="0"/>
                  <wp:wrapNone/>
                  <wp:docPr id="13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41751" w:rsidRDefault="00841751" w:rsidP="00112F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</w:t>
            </w:r>
          </w:p>
        </w:tc>
        <w:tc>
          <w:tcPr>
            <w:tcW w:w="992" w:type="dxa"/>
          </w:tcPr>
          <w:p w:rsidR="00841751" w:rsidRDefault="00841751" w:rsidP="00112F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 031</w:t>
            </w:r>
          </w:p>
        </w:tc>
        <w:tc>
          <w:tcPr>
            <w:tcW w:w="1701" w:type="dxa"/>
          </w:tcPr>
          <w:p w:rsidR="00841751" w:rsidRDefault="00AC7DAD" w:rsidP="00AC7DA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P264</w:t>
            </w:r>
            <w:r w:rsidR="00841751">
              <w:rPr>
                <w:rFonts w:ascii="Verdana" w:hAnsi="Verdana"/>
                <w:sz w:val="16"/>
                <w:szCs w:val="16"/>
              </w:rPr>
              <w:t xml:space="preserve"> P270 P301+312 P330 </w:t>
            </w:r>
          </w:p>
        </w:tc>
        <w:tc>
          <w:tcPr>
            <w:tcW w:w="935" w:type="dxa"/>
          </w:tcPr>
          <w:p w:rsidR="00841751" w:rsidRDefault="00841751" w:rsidP="00112F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41751" w:rsidRPr="00AC60B9" w:rsidTr="00AC7DAD">
        <w:trPr>
          <w:trHeight w:val="836"/>
        </w:trPr>
        <w:tc>
          <w:tcPr>
            <w:cnfStyle w:val="001000000000"/>
            <w:tcW w:w="2376" w:type="dxa"/>
          </w:tcPr>
          <w:p w:rsidR="00841751" w:rsidRDefault="00841751" w:rsidP="00112FA8">
            <w:pPr>
              <w:rPr>
                <w:rFonts w:ascii="Verdana" w:hAnsi="Verdana"/>
                <w:b w:val="0"/>
              </w:rPr>
            </w:pPr>
            <w:r w:rsidRPr="00841751">
              <w:rPr>
                <w:rFonts w:ascii="Verdana" w:hAnsi="Verdana"/>
                <w:b w:val="0"/>
              </w:rPr>
              <w:t>Chrom(III)-sulfat</w:t>
            </w:r>
          </w:p>
          <w:p w:rsidR="00841751" w:rsidRDefault="00841751" w:rsidP="00112FA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(</w:t>
            </w:r>
            <w:r w:rsidR="00AC7DAD">
              <w:rPr>
                <w:rFonts w:ascii="Verdana" w:hAnsi="Verdana"/>
                <w:b w:val="0"/>
              </w:rPr>
              <w:t>basisch</w:t>
            </w:r>
            <w:r>
              <w:rPr>
                <w:rFonts w:ascii="Verdana" w:hAnsi="Verdana"/>
                <w:b w:val="0"/>
              </w:rPr>
              <w:t>)</w:t>
            </w:r>
          </w:p>
          <w:p w:rsidR="00841751" w:rsidRPr="00841751" w:rsidRDefault="00841751" w:rsidP="00112FA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41751">
              <w:rPr>
                <w:rFonts w:ascii="Verdana" w:hAnsi="Verdana"/>
                <w:b w:val="0"/>
                <w:sz w:val="16"/>
                <w:szCs w:val="16"/>
              </w:rPr>
              <w:t>(</w:t>
            </w:r>
            <w:r>
              <w:rPr>
                <w:rFonts w:ascii="Verdana" w:hAnsi="Verdana"/>
                <w:b w:val="0"/>
                <w:sz w:val="16"/>
                <w:szCs w:val="16"/>
              </w:rPr>
              <w:t>bei Entsorgung)</w:t>
            </w:r>
          </w:p>
        </w:tc>
        <w:tc>
          <w:tcPr>
            <w:tcW w:w="1276" w:type="dxa"/>
          </w:tcPr>
          <w:p w:rsidR="00841751" w:rsidRDefault="00841751" w:rsidP="00112FA8">
            <w:pPr>
              <w:cnfStyle w:val="000000000000"/>
              <w:rPr>
                <w:rFonts w:ascii="Verdana" w:hAnsi="Verdana"/>
                <w:color w:val="7030A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841751" w:rsidRDefault="00841751" w:rsidP="00112FA8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84175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328930</wp:posOffset>
                  </wp:positionH>
                  <wp:positionV relativeFrom="margin">
                    <wp:posOffset>94615</wp:posOffset>
                  </wp:positionV>
                  <wp:extent cx="321310" cy="323850"/>
                  <wp:effectExtent l="19050" t="0" r="2540" b="0"/>
                  <wp:wrapNone/>
                  <wp:docPr id="1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41751" w:rsidRDefault="00841751" w:rsidP="00112F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992" w:type="dxa"/>
          </w:tcPr>
          <w:p w:rsidR="00841751" w:rsidRDefault="00841751" w:rsidP="00112F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841751" w:rsidRDefault="00841751" w:rsidP="00112F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P305+351+338 P310</w:t>
            </w:r>
          </w:p>
        </w:tc>
        <w:tc>
          <w:tcPr>
            <w:tcW w:w="935" w:type="dxa"/>
          </w:tcPr>
          <w:p w:rsidR="00841751" w:rsidRDefault="00841751" w:rsidP="00112F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21127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Demin. </w:t>
            </w:r>
            <w:r w:rsidR="004D5A9F">
              <w:rPr>
                <w:rFonts w:ascii="Verdana" w:hAnsi="Verdana"/>
                <w:b w:val="0"/>
              </w:rPr>
              <w:t>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21127C" w:rsidRDefault="0021127C" w:rsidP="0021127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21127C">
        <w:rPr>
          <w:rFonts w:ascii="Verdana" w:hAnsi="Verdana"/>
          <w:i/>
        </w:rPr>
        <w:t>Gleiche Mengen von Kaliumdichromat (K</w:t>
      </w:r>
      <w:r w:rsidRPr="0021127C">
        <w:rPr>
          <w:rFonts w:ascii="Verdana" w:hAnsi="Verdana"/>
          <w:i/>
          <w:vertAlign w:val="subscript"/>
        </w:rPr>
        <w:t>2</w:t>
      </w:r>
      <w:r w:rsidRPr="0021127C">
        <w:rPr>
          <w:rFonts w:ascii="Verdana" w:hAnsi="Verdana"/>
          <w:i/>
        </w:rPr>
        <w:t>Cr</w:t>
      </w:r>
      <w:r w:rsidRPr="0021127C">
        <w:rPr>
          <w:rFonts w:ascii="Verdana" w:hAnsi="Verdana"/>
          <w:i/>
          <w:vertAlign w:val="subscript"/>
        </w:rPr>
        <w:t>2</w:t>
      </w:r>
      <w:r w:rsidRPr="0021127C">
        <w:rPr>
          <w:rFonts w:ascii="Verdana" w:hAnsi="Verdana"/>
          <w:i/>
        </w:rPr>
        <w:t>O</w:t>
      </w:r>
      <w:r w:rsidRPr="0021127C">
        <w:rPr>
          <w:rFonts w:ascii="Verdana" w:hAnsi="Verdana"/>
          <w:i/>
          <w:vertAlign w:val="subscript"/>
        </w:rPr>
        <w:t>7</w:t>
      </w:r>
      <w:r w:rsidRPr="0021127C">
        <w:rPr>
          <w:rFonts w:ascii="Verdana" w:hAnsi="Verdana"/>
          <w:i/>
        </w:rPr>
        <w:t>) werden in zwei Reagenzgläser gegeben</w:t>
      </w:r>
      <w:r>
        <w:rPr>
          <w:rFonts w:ascii="Verdana" w:hAnsi="Verdana"/>
          <w:i/>
        </w:rPr>
        <w:t xml:space="preserve"> (Abzug)</w:t>
      </w:r>
      <w:r w:rsidRPr="0021127C">
        <w:rPr>
          <w:rFonts w:ascii="Verdana" w:hAnsi="Verdana"/>
          <w:i/>
        </w:rPr>
        <w:t>, einmal ein großer Kristall, einmal fein pulverisiert; beide Reagenzgläser werden mit der</w:t>
      </w:r>
      <w:r>
        <w:rPr>
          <w:rFonts w:ascii="Verdana" w:hAnsi="Verdana"/>
          <w:i/>
        </w:rPr>
        <w:t>selben Menge demin</w:t>
      </w:r>
      <w:r w:rsidRPr="0021127C">
        <w:rPr>
          <w:rFonts w:ascii="Verdana" w:hAnsi="Verdana"/>
          <w:i/>
        </w:rPr>
        <w:t xml:space="preserve">. Wassers versetzt, mit einem Stopfen verschlossen und intensiv umgeschüttelt. Die Ansätze werden für 24 Stunden stehen gelassen. </w:t>
      </w:r>
    </w:p>
    <w:p w:rsidR="00841751" w:rsidRDefault="00841751" w:rsidP="008417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AC7DAD">
        <w:rPr>
          <w:rFonts w:ascii="Verdana" w:hAnsi="Verdana"/>
          <w:b/>
          <w:i/>
        </w:rPr>
        <w:t>Alternativ:</w:t>
      </w:r>
      <w:r>
        <w:rPr>
          <w:rFonts w:ascii="Verdana" w:hAnsi="Verdana"/>
          <w:i/>
        </w:rPr>
        <w:t xml:space="preserve"> Gleiche Mengen von Kupfersulfat-Pentahydrat</w:t>
      </w:r>
      <w:r w:rsidRPr="0021127C">
        <w:rPr>
          <w:rFonts w:ascii="Verdana" w:hAnsi="Verdana"/>
          <w:i/>
        </w:rPr>
        <w:t xml:space="preserve"> (</w:t>
      </w:r>
      <w:r>
        <w:rPr>
          <w:rFonts w:ascii="Verdana" w:hAnsi="Verdana"/>
          <w:i/>
        </w:rPr>
        <w:t>CuSO</w:t>
      </w:r>
      <w:r w:rsidRPr="00841751">
        <w:rPr>
          <w:rFonts w:ascii="Verdana" w:hAnsi="Verdana"/>
          <w:i/>
          <w:vertAlign w:val="subscript"/>
        </w:rPr>
        <w:t>4</w:t>
      </w:r>
      <w:r>
        <w:rPr>
          <w:rFonts w:ascii="Verdana" w:hAnsi="Verdana"/>
          <w:i/>
        </w:rPr>
        <w:t>x5H</w:t>
      </w:r>
      <w:r w:rsidRPr="00841751">
        <w:rPr>
          <w:rFonts w:ascii="Verdana" w:hAnsi="Verdana"/>
          <w:i/>
          <w:vertAlign w:val="subscript"/>
        </w:rPr>
        <w:t>2</w:t>
      </w:r>
      <w:r>
        <w:rPr>
          <w:rFonts w:ascii="Verdana" w:hAnsi="Verdana"/>
          <w:i/>
        </w:rPr>
        <w:t>O</w:t>
      </w:r>
      <w:r w:rsidRPr="0021127C">
        <w:rPr>
          <w:rFonts w:ascii="Verdana" w:hAnsi="Verdana"/>
          <w:i/>
        </w:rPr>
        <w:t>) werden in zwei Reagenzgläser gegeben, einmal ein großer Kristall, einmal fein pulverisiert; beide Reagenzgläser werden mit der</w:t>
      </w:r>
      <w:r>
        <w:rPr>
          <w:rFonts w:ascii="Verdana" w:hAnsi="Verdana"/>
          <w:i/>
        </w:rPr>
        <w:t>selben Menge demin</w:t>
      </w:r>
      <w:r w:rsidRPr="0021127C">
        <w:rPr>
          <w:rFonts w:ascii="Verdana" w:hAnsi="Verdana"/>
          <w:i/>
        </w:rPr>
        <w:t xml:space="preserve">. Wassers versetzt, mit einem Stopfen verschlossen und intensiv umgeschüttelt. Die Ansätze werden für 24 Stunden stehen gelassen. </w:t>
      </w:r>
    </w:p>
    <w:p w:rsidR="00841751" w:rsidRPr="0021127C" w:rsidRDefault="00841751" w:rsidP="0021127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</w:p>
    <w:p w:rsidR="008C7699" w:rsidRPr="00841751" w:rsidRDefault="004D5A9F" w:rsidP="008417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sz w:val="22"/>
          <w:szCs w:val="22"/>
        </w:rPr>
      </w:pPr>
      <w:r w:rsidRPr="004E2B4F">
        <w:rPr>
          <w:rFonts w:ascii="Verdana" w:hAnsi="Verdana"/>
          <w:i/>
          <w:sz w:val="22"/>
          <w:szCs w:val="22"/>
        </w:rPr>
        <w:t xml:space="preserve"> </w:t>
      </w: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4D5A9F" w:rsidRDefault="0021127C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Die Pulverisierung erfolgt im geschlossenen System unter Vermeidung von Aerosolbildung.</w:t>
      </w:r>
    </w:p>
    <w:p w:rsidR="004D5A9F" w:rsidRDefault="004D5A9F" w:rsidP="008C7699">
      <w:pPr>
        <w:rPr>
          <w:rFonts w:ascii="Verdana" w:hAnsi="Verdana"/>
          <w:b/>
        </w:rPr>
      </w:pPr>
    </w:p>
    <w:p w:rsidR="00841751" w:rsidRDefault="00841751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015609" w:rsidRDefault="0021127C" w:rsidP="001A2459">
      <w:pPr>
        <w:jc w:val="both"/>
        <w:rPr>
          <w:rFonts w:ascii="Verdana" w:hAnsi="Verdana"/>
          <w:i/>
        </w:rPr>
      </w:pPr>
      <w:r w:rsidRPr="0021127C">
        <w:rPr>
          <w:rFonts w:ascii="Verdana" w:hAnsi="Verdana"/>
          <w:i/>
        </w:rPr>
        <w:t>Mit Natriumhydrogensulfitlösung bei pH 2 zu Chrom(III)-Salzlösung reduzieren, nach etwa 2</w:t>
      </w:r>
      <w:r>
        <w:rPr>
          <w:rFonts w:ascii="Verdana" w:hAnsi="Verdana"/>
          <w:i/>
        </w:rPr>
        <w:t xml:space="preserve"> Stunden in den Sammelbehälter </w:t>
      </w:r>
      <w:r w:rsidRPr="0021127C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"Saure und alkalische Abfälle" </w:t>
      </w:r>
      <w:r w:rsidRPr="0021127C">
        <w:rPr>
          <w:rFonts w:ascii="Verdana" w:hAnsi="Verdana"/>
          <w:i/>
        </w:rPr>
        <w:t xml:space="preserve"> geben</w:t>
      </w:r>
      <w:r>
        <w:rPr>
          <w:rFonts w:ascii="Verdana" w:hAnsi="Verdana"/>
          <w:i/>
        </w:rPr>
        <w:t xml:space="preserve"> (auf pH &gt;7 achten)</w:t>
      </w:r>
      <w:r w:rsidRPr="0021127C">
        <w:rPr>
          <w:rFonts w:ascii="Verdana" w:hAnsi="Verdana"/>
          <w:i/>
        </w:rPr>
        <w:t>.</w:t>
      </w:r>
    </w:p>
    <w:p w:rsidR="00841751" w:rsidRPr="0021127C" w:rsidRDefault="00841751" w:rsidP="001A245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Bei Verwendung von Kupfersulfat-Pentahydrat: Lösungen mit den Resten von Experiment 2.3 vereinigen und durch Verdunsten des Wassers das Kupfersulfat zurückgewinnen und </w:t>
      </w:r>
      <w:r w:rsidR="00AC7DAD">
        <w:rPr>
          <w:rFonts w:ascii="Verdana" w:hAnsi="Verdana"/>
          <w:i/>
        </w:rPr>
        <w:t>recyceln</w:t>
      </w:r>
      <w:r>
        <w:rPr>
          <w:rFonts w:ascii="Verdana" w:hAnsi="Verdana"/>
          <w:i/>
        </w:rPr>
        <w:t>.</w:t>
      </w:r>
    </w:p>
    <w:p w:rsidR="004D5A9F" w:rsidRDefault="004D5A9F">
      <w:pPr>
        <w:rPr>
          <w:rFonts w:ascii="Verdana" w:hAnsi="Verdana"/>
          <w:b/>
        </w:rPr>
      </w:pPr>
    </w:p>
    <w:p w:rsidR="00AC7DAD" w:rsidRDefault="00AC7DAD">
      <w:pPr>
        <w:rPr>
          <w:rFonts w:ascii="Verdana" w:hAnsi="Verdana"/>
          <w:b/>
        </w:rPr>
      </w:pPr>
    </w:p>
    <w:p w:rsidR="004D5A9F" w:rsidRDefault="004D5A9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84175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84175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Bei Verwendung von Kaliumdichromat geschlossenes System verwenden, Aerosolbildung vermeiden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AC7DA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5130800</wp:posOffset>
            </wp:positionH>
            <wp:positionV relativeFrom="margin">
              <wp:posOffset>5114925</wp:posOffset>
            </wp:positionV>
            <wp:extent cx="400050" cy="400050"/>
            <wp:effectExtent l="19050" t="0" r="0" b="0"/>
            <wp:wrapNone/>
            <wp:docPr id="4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3733800</wp:posOffset>
            </wp:positionH>
            <wp:positionV relativeFrom="margin">
              <wp:posOffset>5114925</wp:posOffset>
            </wp:positionV>
            <wp:extent cx="400050" cy="400050"/>
            <wp:effectExtent l="19050" t="0" r="0" b="0"/>
            <wp:wrapNone/>
            <wp:docPr id="15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2425700</wp:posOffset>
            </wp:positionH>
            <wp:positionV relativeFrom="margin">
              <wp:posOffset>5114925</wp:posOffset>
            </wp:positionV>
            <wp:extent cx="400050" cy="40005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946150</wp:posOffset>
            </wp:positionH>
            <wp:positionV relativeFrom="margin">
              <wp:posOffset>5146675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1A2459" w:rsidRPr="001A2459" w:rsidRDefault="001A245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 xml:space="preserve">Schutzbrille tragen </w:t>
      </w:r>
      <w:r>
        <w:rPr>
          <w:rFonts w:ascii="Verdana" w:hAnsi="Verdana"/>
          <w:i/>
        </w:rPr>
        <w:tab/>
        <w:t>Schutzhandschuhe tragen</w:t>
      </w:r>
      <w:r w:rsidR="00841751">
        <w:rPr>
          <w:rFonts w:ascii="Verdana" w:hAnsi="Verdana"/>
          <w:i/>
        </w:rPr>
        <w:t xml:space="preserve">      Abzug           Geschossenes System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AC7DAD" w:rsidRDefault="00AC7DAD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1A2459" w:rsidRDefault="00806242">
      <w:pPr>
        <w:rPr>
          <w:rFonts w:ascii="Verdana" w:hAnsi="Verdana"/>
          <w:i/>
        </w:rPr>
      </w:pPr>
      <w:r>
        <w:rPr>
          <w:rFonts w:ascii="Verdana" w:hAnsi="Verdana"/>
          <w:i/>
        </w:rPr>
        <w:t>Ist erfolgt</w:t>
      </w:r>
      <w:r w:rsidR="001A2459">
        <w:rPr>
          <w:rFonts w:ascii="Verdana" w:hAnsi="Verdana"/>
          <w:i/>
        </w:rPr>
        <w:t>;</w:t>
      </w:r>
      <w:r>
        <w:rPr>
          <w:rFonts w:ascii="Verdana" w:hAnsi="Verdana"/>
          <w:i/>
        </w:rPr>
        <w:t xml:space="preserve"> als Ersatzstoff kann Kupfersulfat-Pentahydrat verwendet werden, allerdings ist</w:t>
      </w:r>
      <w:r w:rsidR="001A2459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das Ergebnis nicht sehr deutlich zu sehen, weshalb die Verwendung von Kaliumdichromat bevorzugt wird.</w:t>
      </w:r>
      <w:r w:rsidR="001A2459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Das Tätigkeitsverbot für Schülerinnen und Schüler sowie für gebärfähige Frauen, werdende oder stillende Mütter werden befolgt. Die Tätigkeitsbeschränkungen werden beachtet. Durch technische Hilfsmittel (geeignete Handschuhe) wird Hautkontakt vermieden; durch die Verwendung eines geschlossenen Systems wird die Einatmung von Aerosol vermieden.</w:t>
      </w:r>
    </w:p>
    <w:p w:rsidR="00624D80" w:rsidRDefault="00624D80">
      <w:pPr>
        <w:rPr>
          <w:rFonts w:ascii="Arial" w:hAnsi="Arial"/>
        </w:rPr>
      </w:pPr>
    </w:p>
    <w:p w:rsidR="001A2459" w:rsidRDefault="001A2459">
      <w:pPr>
        <w:rPr>
          <w:rFonts w:ascii="Arial" w:hAnsi="Arial"/>
        </w:rPr>
      </w:pPr>
    </w:p>
    <w:p w:rsidR="00806242" w:rsidRDefault="00806242">
      <w:pPr>
        <w:rPr>
          <w:rFonts w:ascii="Arial" w:hAnsi="Arial"/>
        </w:rPr>
      </w:pPr>
    </w:p>
    <w:p w:rsidR="00806242" w:rsidRDefault="00806242">
      <w:pPr>
        <w:rPr>
          <w:rFonts w:ascii="Arial" w:hAnsi="Arial"/>
        </w:rPr>
      </w:pPr>
    </w:p>
    <w:p w:rsidR="00AC7DAD" w:rsidRDefault="00AC7DAD">
      <w:pPr>
        <w:rPr>
          <w:rFonts w:ascii="Arial" w:hAnsi="Arial"/>
        </w:rPr>
      </w:pPr>
    </w:p>
    <w:p w:rsidR="00AC7DAD" w:rsidRDefault="00AC7DAD">
      <w:pPr>
        <w:rPr>
          <w:rFonts w:ascii="Arial" w:hAnsi="Arial"/>
        </w:rPr>
      </w:pPr>
    </w:p>
    <w:p w:rsidR="00AC7DAD" w:rsidRDefault="00AC7DAD">
      <w:pPr>
        <w:rPr>
          <w:rFonts w:ascii="Arial" w:hAnsi="Arial"/>
        </w:rPr>
      </w:pPr>
    </w:p>
    <w:p w:rsidR="00AC7DAD" w:rsidRDefault="00AC7DAD">
      <w:pPr>
        <w:rPr>
          <w:rFonts w:ascii="Arial" w:hAnsi="Arial"/>
        </w:rPr>
      </w:pPr>
    </w:p>
    <w:p w:rsidR="001A2459" w:rsidRDefault="001A2459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D12FDC" w:rsidRDefault="00D12FDC">
      <w:pPr>
        <w:rPr>
          <w:rFonts w:ascii="Verdana" w:hAnsi="Verdana"/>
          <w:b/>
        </w:rPr>
      </w:pPr>
    </w:p>
    <w:p w:rsidR="00AC7DAD" w:rsidRPr="00806242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H272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Kann Brand verstärken.</w:t>
      </w:r>
    </w:p>
    <w:p w:rsidR="00AC7DAD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H301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Giftig bei Verschlucken.</w:t>
      </w:r>
    </w:p>
    <w:p w:rsidR="00AC7DAD" w:rsidRPr="00806242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H302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Gesundheitsschädlich bei Verschlucken.</w:t>
      </w:r>
    </w:p>
    <w:p w:rsidR="00AC7DAD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H312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Gesundheitsschädlich bei Hautkontakt</w:t>
      </w:r>
      <w:r>
        <w:rPr>
          <w:rFonts w:ascii="Verdana" w:hAnsi="Verdana"/>
          <w:sz w:val="16"/>
          <w:szCs w:val="16"/>
          <w:lang w:val="de-CH"/>
        </w:rPr>
        <w:t>.</w:t>
      </w:r>
    </w:p>
    <w:p w:rsidR="00AC7DAD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H314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Verursacht schwere Verätzungen der Haut und schwere Augenschäden.</w:t>
      </w:r>
    </w:p>
    <w:p w:rsidR="00AC7DAD" w:rsidRPr="00806242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H315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Verursacht Hautreizungen.</w:t>
      </w:r>
    </w:p>
    <w:p w:rsidR="00AC7DAD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H317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Kann allergische Hautreaktionen verursachen.</w:t>
      </w:r>
    </w:p>
    <w:p w:rsidR="00AC7DAD" w:rsidRPr="00806242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H319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Verursacht schwere Augenreizung.</w:t>
      </w:r>
    </w:p>
    <w:p w:rsidR="00AC7DAD" w:rsidRPr="00806242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H330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Lebensgefahr bei Einatmen.</w:t>
      </w:r>
    </w:p>
    <w:p w:rsidR="00AC7DAD" w:rsidRPr="00806242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H334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Kann bei Einatmen Allergie, asthmaartige Symptome oder Atembeschwerden verursachen.</w:t>
      </w:r>
    </w:p>
    <w:p w:rsidR="00936DB6" w:rsidRPr="00806242" w:rsidRDefault="00936DB6" w:rsidP="00936DB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H340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Kann genetische Defekte verursachen.</w:t>
      </w:r>
    </w:p>
    <w:p w:rsidR="00806242" w:rsidRDefault="00806242" w:rsidP="0080624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H350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Kann Krebs erzeugen.</w:t>
      </w:r>
    </w:p>
    <w:p w:rsidR="00806242" w:rsidRPr="00806242" w:rsidRDefault="00806242" w:rsidP="0080624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H360Df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 xml:space="preserve">Kann das Kind im Mutterleib schädigen. Kann </w:t>
      </w:r>
      <w:r>
        <w:rPr>
          <w:rFonts w:ascii="Verdana" w:hAnsi="Verdana"/>
          <w:sz w:val="16"/>
          <w:szCs w:val="16"/>
          <w:lang w:val="de-CH"/>
        </w:rPr>
        <w:t xml:space="preserve">vermutlich </w:t>
      </w:r>
      <w:r w:rsidRPr="00806242">
        <w:rPr>
          <w:rFonts w:ascii="Verdana" w:hAnsi="Verdana"/>
          <w:sz w:val="16"/>
          <w:szCs w:val="16"/>
          <w:lang w:val="de-CH"/>
        </w:rPr>
        <w:t>die Fruchtbarkeit beeinträchtigen.</w:t>
      </w:r>
    </w:p>
    <w:p w:rsidR="00806242" w:rsidRPr="00806242" w:rsidRDefault="00806242" w:rsidP="0080624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H372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Schädigt die Organe bei längerer oder wiederholter Exposition.</w:t>
      </w:r>
    </w:p>
    <w:p w:rsidR="00D906C4" w:rsidRPr="00806242" w:rsidRDefault="00806242" w:rsidP="0080624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06242">
        <w:rPr>
          <w:rFonts w:ascii="Verdana" w:hAnsi="Verdana"/>
          <w:sz w:val="16"/>
          <w:szCs w:val="16"/>
          <w:lang w:val="de-CH"/>
        </w:rPr>
        <w:t>H410</w:t>
      </w:r>
      <w:r w:rsidRPr="00806242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06242">
        <w:rPr>
          <w:rFonts w:ascii="Verdana" w:hAnsi="Verdana"/>
          <w:sz w:val="16"/>
          <w:szCs w:val="16"/>
          <w:lang w:val="de-CH"/>
        </w:rPr>
        <w:t>Sehr giftig für Wasserorganismen mit langfristiger Wirkung.</w:t>
      </w:r>
      <w:r w:rsidR="00D906C4" w:rsidRPr="00806242">
        <w:rPr>
          <w:rFonts w:ascii="Verdana" w:hAnsi="Verdana"/>
          <w:sz w:val="16"/>
          <w:szCs w:val="16"/>
          <w:lang w:val="de-CH"/>
        </w:rPr>
        <w:tab/>
      </w:r>
      <w:r w:rsidR="001A2459" w:rsidRPr="00806242">
        <w:rPr>
          <w:rFonts w:ascii="Verdana" w:hAnsi="Verdana"/>
          <w:sz w:val="16"/>
          <w:szCs w:val="16"/>
          <w:lang w:val="de-CH"/>
        </w:rPr>
        <w:tab/>
      </w:r>
      <w:r w:rsidR="001A2459" w:rsidRPr="00806242">
        <w:rPr>
          <w:rFonts w:ascii="Verdana" w:hAnsi="Verdana"/>
          <w:sz w:val="16"/>
          <w:szCs w:val="16"/>
          <w:lang w:val="de-CH"/>
        </w:rPr>
        <w:tab/>
      </w:r>
    </w:p>
    <w:p w:rsidR="00457C54" w:rsidRDefault="00457C54" w:rsidP="00457C54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eastAsia="zh-CN"/>
        </w:rPr>
      </w:pPr>
    </w:p>
    <w:p w:rsidR="001A2459" w:rsidRPr="001A2459" w:rsidRDefault="00457C54" w:rsidP="00457C54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eastAsia="zh-CN"/>
        </w:rPr>
        <w:t>EUH 031</w:t>
      </w:r>
      <w:r w:rsidR="001A2459" w:rsidRPr="001A2459">
        <w:rPr>
          <w:rFonts w:ascii="Verdana" w:hAnsi="Verdana"/>
          <w:sz w:val="16"/>
          <w:szCs w:val="16"/>
          <w:lang w:eastAsia="zh-CN"/>
        </w:rPr>
        <w:tab/>
      </w:r>
      <w:r w:rsidR="001A2459" w:rsidRPr="001A245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Entwickelt bei Berührung mit Säure giftige Gase.</w:t>
      </w:r>
      <w:r w:rsidR="001A2459" w:rsidRPr="001A2459">
        <w:rPr>
          <w:rFonts w:ascii="Verdana" w:hAnsi="Verdana"/>
          <w:sz w:val="16"/>
          <w:szCs w:val="16"/>
          <w:lang w:eastAsia="zh-CN"/>
        </w:rPr>
        <w:tab/>
      </w:r>
    </w:p>
    <w:p w:rsidR="00D12FDC" w:rsidRPr="001A2459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806242" w:rsidRDefault="00806242" w:rsidP="0080624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06242">
        <w:rPr>
          <w:rFonts w:ascii="Verdana" w:hAnsi="Verdana"/>
          <w:sz w:val="16"/>
          <w:szCs w:val="16"/>
        </w:rPr>
        <w:t>P201</w:t>
      </w:r>
      <w:r w:rsidRPr="008062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806242">
        <w:rPr>
          <w:rFonts w:ascii="Verdana" w:hAnsi="Verdana"/>
          <w:sz w:val="16"/>
          <w:szCs w:val="16"/>
        </w:rPr>
        <w:t>Vor Gebrauch besondere Anweisungen einholen.</w:t>
      </w:r>
    </w:p>
    <w:p w:rsidR="00AC7DAD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P264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Nach Handhabung Hände </w:t>
      </w:r>
      <w:r w:rsidRPr="00693B6E">
        <w:rPr>
          <w:rFonts w:ascii="Verdana" w:hAnsi="Verdana"/>
          <w:sz w:val="16"/>
          <w:szCs w:val="16"/>
          <w:lang w:eastAsia="zh-CN"/>
        </w:rPr>
        <w:t>gründlich waschen.</w:t>
      </w:r>
    </w:p>
    <w:p w:rsidR="00AC7DAD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P270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Verwendung dieses Produkts nicht essen</w:t>
      </w:r>
      <w:r w:rsidRPr="00AC7DAD">
        <w:rPr>
          <w:rFonts w:ascii="Verdana" w:hAnsi="Verdana"/>
          <w:sz w:val="16"/>
          <w:szCs w:val="16"/>
          <w:lang w:eastAsia="zh-CN"/>
        </w:rPr>
        <w:t xml:space="preserve"> </w:t>
      </w:r>
      <w:r w:rsidRPr="00693B6E">
        <w:rPr>
          <w:rFonts w:ascii="Verdana" w:hAnsi="Verdana"/>
          <w:sz w:val="16"/>
          <w:szCs w:val="16"/>
          <w:lang w:eastAsia="zh-CN"/>
        </w:rPr>
        <w:t>oder</w:t>
      </w:r>
      <w:r>
        <w:rPr>
          <w:rFonts w:ascii="Verdana" w:hAnsi="Verdana"/>
          <w:sz w:val="16"/>
          <w:szCs w:val="16"/>
          <w:lang w:eastAsia="zh-CN"/>
        </w:rPr>
        <w:t xml:space="preserve"> trinken.</w:t>
      </w:r>
    </w:p>
    <w:p w:rsidR="00AC7DAD" w:rsidRPr="00457C54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57C54">
        <w:rPr>
          <w:rFonts w:ascii="Verdana" w:hAnsi="Verdana"/>
          <w:sz w:val="16"/>
          <w:szCs w:val="16"/>
        </w:rPr>
        <w:t>P273</w:t>
      </w:r>
      <w:r w:rsidRPr="00457C5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457C54">
        <w:rPr>
          <w:rFonts w:ascii="Verdana" w:hAnsi="Verdana"/>
          <w:sz w:val="16"/>
          <w:szCs w:val="16"/>
        </w:rPr>
        <w:t>Freisetzung in die Umwelt vermeiden.</w:t>
      </w:r>
    </w:p>
    <w:p w:rsidR="00806242" w:rsidRDefault="00806242" w:rsidP="0080624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06242">
        <w:rPr>
          <w:rFonts w:ascii="Verdana" w:hAnsi="Verdana"/>
          <w:sz w:val="16"/>
          <w:szCs w:val="16"/>
        </w:rPr>
        <w:t>P280</w:t>
      </w:r>
      <w:r w:rsidRPr="0080624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806242">
        <w:rPr>
          <w:rFonts w:ascii="Verdana" w:hAnsi="Verdana"/>
          <w:sz w:val="16"/>
          <w:szCs w:val="16"/>
        </w:rPr>
        <w:t>Schutzhandschuhe / Schutzkleidun</w:t>
      </w:r>
      <w:r>
        <w:rPr>
          <w:rFonts w:ascii="Verdana" w:hAnsi="Verdana"/>
          <w:sz w:val="16"/>
          <w:szCs w:val="16"/>
        </w:rPr>
        <w:t xml:space="preserve">g / Augenschutz </w:t>
      </w:r>
      <w:r w:rsidRPr="00806242">
        <w:rPr>
          <w:rFonts w:ascii="Verdana" w:hAnsi="Verdana"/>
          <w:sz w:val="16"/>
          <w:szCs w:val="16"/>
        </w:rPr>
        <w:t xml:space="preserve"> tragen.</w:t>
      </w:r>
    </w:p>
    <w:p w:rsidR="00806242" w:rsidRDefault="00806242" w:rsidP="0080624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06242">
        <w:rPr>
          <w:rFonts w:ascii="Verdana" w:hAnsi="Verdana"/>
          <w:sz w:val="16"/>
          <w:szCs w:val="16"/>
        </w:rPr>
        <w:t>P301+330+331</w:t>
      </w:r>
      <w:r w:rsidRPr="00806242">
        <w:rPr>
          <w:rFonts w:ascii="Verdana" w:hAnsi="Verdana"/>
          <w:sz w:val="16"/>
          <w:szCs w:val="16"/>
        </w:rPr>
        <w:tab/>
        <w:t>Bei Verschlucken: Mund ausspülen. Kein Erbrechen herbeiführen.</w:t>
      </w:r>
    </w:p>
    <w:p w:rsidR="00AC7DAD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P301+312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</w:t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 xml:space="preserve">wohlsein Giftinformationszentrum/Arzt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AC7DAD" w:rsidRPr="00457C54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57C54">
        <w:rPr>
          <w:rFonts w:ascii="Verdana" w:hAnsi="Verdana"/>
          <w:sz w:val="16"/>
          <w:szCs w:val="16"/>
        </w:rPr>
        <w:t>P302+352</w:t>
      </w:r>
      <w:r w:rsidRPr="00457C54">
        <w:rPr>
          <w:rFonts w:ascii="Verdana" w:hAnsi="Verdana"/>
          <w:sz w:val="16"/>
          <w:szCs w:val="16"/>
        </w:rPr>
        <w:tab/>
        <w:t>Bei Kontakt mit der Haut: Mit viel Wasser und Seife waschen.</w:t>
      </w:r>
    </w:p>
    <w:p w:rsidR="00AC7DAD" w:rsidRPr="00806242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06242">
        <w:rPr>
          <w:rFonts w:ascii="Verdana" w:hAnsi="Verdana"/>
          <w:sz w:val="16"/>
          <w:szCs w:val="16"/>
        </w:rPr>
        <w:t>P304+341</w:t>
      </w:r>
      <w:r w:rsidRPr="00806242">
        <w:rPr>
          <w:rFonts w:ascii="Verdana" w:hAnsi="Verdana"/>
          <w:sz w:val="16"/>
          <w:szCs w:val="16"/>
        </w:rPr>
        <w:tab/>
        <w:t xml:space="preserve">Bei Einatmen: Bei Atembeschwerden an die frische Luft bringen und in einer Position ruhigstellen, die das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806242">
        <w:rPr>
          <w:rFonts w:ascii="Verdana" w:hAnsi="Verdana"/>
          <w:sz w:val="16"/>
          <w:szCs w:val="16"/>
        </w:rPr>
        <w:t>Atmen erleichtert.</w:t>
      </w:r>
    </w:p>
    <w:p w:rsidR="00806242" w:rsidRPr="00806242" w:rsidRDefault="00806242" w:rsidP="0080624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06242">
        <w:rPr>
          <w:rFonts w:ascii="Verdana" w:hAnsi="Verdana"/>
          <w:sz w:val="16"/>
          <w:szCs w:val="16"/>
        </w:rPr>
        <w:t>P305+351+338</w:t>
      </w:r>
      <w:r w:rsidRPr="00806242">
        <w:rPr>
          <w:rFonts w:ascii="Verdana" w:hAnsi="Verdana"/>
          <w:sz w:val="16"/>
          <w:szCs w:val="16"/>
        </w:rPr>
        <w:tab/>
        <w:t xml:space="preserve">Bei Kontakt mit den Augen: Einige Minuten lang behutsam mit Wasser spülen. Vorhandene Kontaktlinsen nach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806242">
        <w:rPr>
          <w:rFonts w:ascii="Verdana" w:hAnsi="Verdana"/>
          <w:sz w:val="16"/>
          <w:szCs w:val="16"/>
        </w:rPr>
        <w:t xml:space="preserve">Möglichkeit entfernen. Weiter </w:t>
      </w:r>
      <w:r>
        <w:rPr>
          <w:rFonts w:ascii="Verdana" w:hAnsi="Verdana"/>
          <w:sz w:val="16"/>
          <w:szCs w:val="16"/>
        </w:rPr>
        <w:t>aus</w:t>
      </w:r>
      <w:r w:rsidRPr="00806242">
        <w:rPr>
          <w:rFonts w:ascii="Verdana" w:hAnsi="Verdana"/>
          <w:sz w:val="16"/>
          <w:szCs w:val="16"/>
        </w:rPr>
        <w:t>spülen.</w:t>
      </w:r>
    </w:p>
    <w:p w:rsidR="001A2459" w:rsidRPr="001A2459" w:rsidRDefault="00806242" w:rsidP="00D906C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06242">
        <w:rPr>
          <w:rFonts w:ascii="Verdana" w:hAnsi="Verdana"/>
          <w:sz w:val="16"/>
          <w:szCs w:val="16"/>
        </w:rPr>
        <w:t>P308+313</w:t>
      </w:r>
      <w:r w:rsidRPr="00806242">
        <w:rPr>
          <w:rFonts w:ascii="Verdana" w:hAnsi="Verdana"/>
          <w:sz w:val="16"/>
          <w:szCs w:val="16"/>
        </w:rPr>
        <w:tab/>
        <w:t>Bei Exposition oder falls betroffen: ärztlichen Rat einholen / ärztliche Hilfe hinzuziehen.</w:t>
      </w:r>
      <w:r w:rsidR="00D906C4" w:rsidRPr="001A2459">
        <w:rPr>
          <w:rFonts w:ascii="Verdana" w:hAnsi="Verdana"/>
          <w:sz w:val="16"/>
          <w:szCs w:val="16"/>
        </w:rPr>
        <w:tab/>
      </w:r>
      <w:r w:rsidR="001A2459" w:rsidRPr="001A2459">
        <w:rPr>
          <w:rFonts w:ascii="Verdana" w:hAnsi="Verdana"/>
          <w:sz w:val="16"/>
          <w:szCs w:val="16"/>
        </w:rPr>
        <w:tab/>
      </w:r>
      <w:r w:rsidR="001A2459" w:rsidRPr="001A2459">
        <w:rPr>
          <w:rFonts w:ascii="Verdana" w:hAnsi="Verdana"/>
          <w:sz w:val="16"/>
          <w:szCs w:val="16"/>
        </w:rPr>
        <w:tab/>
      </w:r>
    </w:p>
    <w:p w:rsidR="00AC7DAD" w:rsidRDefault="00AC7DAD" w:rsidP="00AC7DA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</w:t>
      </w:r>
      <w:r>
        <w:rPr>
          <w:rFonts w:ascii="Verdana" w:hAnsi="Verdana"/>
          <w:sz w:val="16"/>
          <w:szCs w:val="16"/>
          <w:lang w:eastAsia="zh-CN"/>
        </w:rPr>
        <w:t xml:space="preserve">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457C54" w:rsidRDefault="00AC7DAD" w:rsidP="00457C5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P330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Mund ausspülen.</w:t>
      </w:r>
    </w:p>
    <w:p w:rsidR="001A2459" w:rsidRDefault="001A2459">
      <w:pPr>
        <w:rPr>
          <w:rFonts w:ascii="Verdana" w:hAnsi="Verdana"/>
        </w:rPr>
      </w:pPr>
    </w:p>
    <w:p w:rsidR="001A2459" w:rsidRPr="00094BA1" w:rsidRDefault="001A2459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1A2459" w:rsidRDefault="001A2459">
      <w:pPr>
        <w:rPr>
          <w:rFonts w:ascii="Arial" w:hAnsi="Arial"/>
          <w:sz w:val="24"/>
        </w:rPr>
      </w:pPr>
    </w:p>
    <w:p w:rsidR="001A2459" w:rsidRDefault="001A245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133075">
        <w:rPr>
          <w:rFonts w:ascii="Verdana" w:hAnsi="Verdana"/>
          <w:sz w:val="16"/>
          <w:szCs w:val="16"/>
        </w:rPr>
        <w:t>ule Zürich / Erstelldatum: 07.10</w:t>
      </w:r>
      <w:r w:rsidR="00B150DF">
        <w:rPr>
          <w:rFonts w:ascii="Verdana" w:hAnsi="Verdana"/>
          <w:sz w:val="16"/>
          <w:szCs w:val="16"/>
        </w:rPr>
        <w:t>.2015</w:t>
      </w:r>
      <w:r w:rsidR="00BF1CB8">
        <w:rPr>
          <w:rFonts w:ascii="Verdana" w:hAnsi="Verdana"/>
          <w:sz w:val="16"/>
          <w:szCs w:val="16"/>
        </w:rPr>
        <w:t xml:space="preserve"> - geändert: 19.12.2015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7"/>
      <w:footerReference w:type="default" r:id="rId1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C7" w:rsidRDefault="004763C7" w:rsidP="00015609">
      <w:r>
        <w:separator/>
      </w:r>
    </w:p>
  </w:endnote>
  <w:endnote w:type="continuationSeparator" w:id="0">
    <w:p w:rsidR="004763C7" w:rsidRDefault="004763C7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C7" w:rsidRDefault="004763C7" w:rsidP="00015609">
      <w:r>
        <w:separator/>
      </w:r>
    </w:p>
  </w:footnote>
  <w:footnote w:type="continuationSeparator" w:id="0">
    <w:p w:rsidR="004763C7" w:rsidRDefault="004763C7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EA5C82" w:rsidP="00015609">
    <w:pPr>
      <w:pStyle w:val="Kopfzeile"/>
      <w:tabs>
        <w:tab w:val="clear" w:pos="4536"/>
        <w:tab w:val="clear" w:pos="9072"/>
        <w:tab w:val="left" w:pos="8445"/>
      </w:tabs>
    </w:pPr>
    <w:r w:rsidRPr="00EA5C82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EA5C82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EA5C82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2459"/>
    <w:rsid w:val="001A6020"/>
    <w:rsid w:val="001C32D5"/>
    <w:rsid w:val="001E1C19"/>
    <w:rsid w:val="001E2122"/>
    <w:rsid w:val="001E53A7"/>
    <w:rsid w:val="001F0F23"/>
    <w:rsid w:val="0021127C"/>
    <w:rsid w:val="00221ED2"/>
    <w:rsid w:val="002328B6"/>
    <w:rsid w:val="00237BC8"/>
    <w:rsid w:val="0024642C"/>
    <w:rsid w:val="00260D73"/>
    <w:rsid w:val="00262CDB"/>
    <w:rsid w:val="002B6C16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57C54"/>
    <w:rsid w:val="0046211C"/>
    <w:rsid w:val="00467D3E"/>
    <w:rsid w:val="00475253"/>
    <w:rsid w:val="004763C7"/>
    <w:rsid w:val="004815CD"/>
    <w:rsid w:val="00491344"/>
    <w:rsid w:val="004A0699"/>
    <w:rsid w:val="004B4FF4"/>
    <w:rsid w:val="004D5A9F"/>
    <w:rsid w:val="00523D26"/>
    <w:rsid w:val="005643F9"/>
    <w:rsid w:val="005759A4"/>
    <w:rsid w:val="005A207F"/>
    <w:rsid w:val="005A4729"/>
    <w:rsid w:val="005E2480"/>
    <w:rsid w:val="006133D7"/>
    <w:rsid w:val="006235DF"/>
    <w:rsid w:val="00624D80"/>
    <w:rsid w:val="006263D1"/>
    <w:rsid w:val="00655BBC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242"/>
    <w:rsid w:val="00806A16"/>
    <w:rsid w:val="00812A15"/>
    <w:rsid w:val="00816966"/>
    <w:rsid w:val="008343F4"/>
    <w:rsid w:val="00841751"/>
    <w:rsid w:val="008542D8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36DB6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077AD"/>
    <w:rsid w:val="00A1039B"/>
    <w:rsid w:val="00A151A0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C7DAD"/>
    <w:rsid w:val="00AE4E6E"/>
    <w:rsid w:val="00B03BAF"/>
    <w:rsid w:val="00B03E55"/>
    <w:rsid w:val="00B11E40"/>
    <w:rsid w:val="00B150DF"/>
    <w:rsid w:val="00B212F4"/>
    <w:rsid w:val="00B308B5"/>
    <w:rsid w:val="00B61890"/>
    <w:rsid w:val="00B65545"/>
    <w:rsid w:val="00B7582C"/>
    <w:rsid w:val="00B83007"/>
    <w:rsid w:val="00BF1CB8"/>
    <w:rsid w:val="00BF4696"/>
    <w:rsid w:val="00BF7628"/>
    <w:rsid w:val="00C037DB"/>
    <w:rsid w:val="00C16FEE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906C4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72C89"/>
    <w:rsid w:val="00EA5663"/>
    <w:rsid w:val="00EA5C82"/>
    <w:rsid w:val="00EA79C0"/>
    <w:rsid w:val="00EC11B3"/>
    <w:rsid w:val="00F068ED"/>
    <w:rsid w:val="00F122A5"/>
    <w:rsid w:val="00F30D44"/>
    <w:rsid w:val="00F81050"/>
    <w:rsid w:val="00F97457"/>
    <w:rsid w:val="00FD319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3683-4545-49E6-A6EA-D5AED980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2013-12-03T11:51:00Z</cp:lastPrinted>
  <dcterms:created xsi:type="dcterms:W3CDTF">2015-10-07T16:23:00Z</dcterms:created>
  <dcterms:modified xsi:type="dcterms:W3CDTF">2015-12-20T10:47:00Z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