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8D21B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33F91">
        <w:rPr>
          <w:rFonts w:ascii="Verdana" w:hAnsi="Verdana"/>
          <w:b/>
        </w:rPr>
        <w:t>Gesättigte und übersättigte Lösung (2.3</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F33F91">
        <w:rPr>
          <w:rFonts w:ascii="Verdana" w:hAnsi="Verdana"/>
          <w:b/>
        </w:rPr>
        <w:t>26</w:t>
      </w:r>
    </w:p>
    <w:p w:rsidR="00397845" w:rsidRDefault="00397845">
      <w:pPr>
        <w:rPr>
          <w:rFonts w:ascii="Arial" w:hAnsi="Arial"/>
          <w:sz w:val="24"/>
        </w:rPr>
      </w:pPr>
    </w:p>
    <w:p w:rsidR="00624D80" w:rsidRDefault="008D21B0">
      <w:pPr>
        <w:rPr>
          <w:rFonts w:ascii="Arial" w:hAnsi="Arial"/>
          <w:sz w:val="24"/>
        </w:rPr>
      </w:pPr>
      <w:r w:rsidRPr="008D21B0">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8D21B0">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8D21B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4D5A9F"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376"/>
        <w:gridCol w:w="1276"/>
        <w:gridCol w:w="1701"/>
        <w:gridCol w:w="1701"/>
        <w:gridCol w:w="851"/>
        <w:gridCol w:w="1842"/>
        <w:gridCol w:w="935"/>
      </w:tblGrid>
      <w:tr w:rsidR="00D906C4" w:rsidTr="001A2459">
        <w:trPr>
          <w:cnfStyle w:val="100000000000"/>
          <w:trHeight w:val="397"/>
        </w:trPr>
        <w:tc>
          <w:tcPr>
            <w:cnfStyle w:val="001000000000"/>
            <w:tcW w:w="2376"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906C4" w:rsidRPr="00AC60B9" w:rsidTr="00AC2676">
        <w:trPr>
          <w:cnfStyle w:val="000000100000"/>
          <w:trHeight w:val="708"/>
        </w:trPr>
        <w:tc>
          <w:tcPr>
            <w:cnfStyle w:val="001000000000"/>
            <w:tcW w:w="2376" w:type="dxa"/>
          </w:tcPr>
          <w:p w:rsidR="00DC32FF" w:rsidRPr="00AC60B9" w:rsidRDefault="00F33F91" w:rsidP="002A3BB0">
            <w:pPr>
              <w:rPr>
                <w:rFonts w:ascii="Verdana" w:hAnsi="Verdana"/>
                <w:b w:val="0"/>
              </w:rPr>
            </w:pPr>
            <w:r>
              <w:rPr>
                <w:rFonts w:ascii="Verdana" w:hAnsi="Verdana"/>
                <w:b w:val="0"/>
              </w:rPr>
              <w:t>Kupfersulfat-Pentahydrat</w:t>
            </w:r>
          </w:p>
        </w:tc>
        <w:tc>
          <w:tcPr>
            <w:tcW w:w="1276" w:type="dxa"/>
          </w:tcPr>
          <w:p w:rsidR="00DC32FF" w:rsidRPr="00F33F91" w:rsidRDefault="00F33F91">
            <w:pPr>
              <w:cnfStyle w:val="000000100000"/>
              <w:rPr>
                <w:rFonts w:ascii="Verdana" w:hAnsi="Verdana"/>
                <w:color w:val="7030A0"/>
              </w:rPr>
            </w:pPr>
            <w:r>
              <w:rPr>
                <w:rFonts w:ascii="Verdana" w:hAnsi="Verdana"/>
                <w:color w:val="7030A0"/>
              </w:rPr>
              <w:t>Achtung</w:t>
            </w:r>
          </w:p>
        </w:tc>
        <w:tc>
          <w:tcPr>
            <w:tcW w:w="1701" w:type="dxa"/>
          </w:tcPr>
          <w:p w:rsidR="00DC32FF" w:rsidRPr="00AC60B9" w:rsidRDefault="00F33F91">
            <w:pPr>
              <w:cnfStyle w:val="000000100000"/>
              <w:rPr>
                <w:rFonts w:ascii="Verdana" w:hAnsi="Verdana"/>
              </w:rPr>
            </w:pPr>
            <w:r>
              <w:rPr>
                <w:rFonts w:ascii="Arial" w:hAnsi="Arial"/>
                <w:noProof/>
                <w:lang w:val="de-CH"/>
              </w:rPr>
              <w:drawing>
                <wp:anchor distT="0" distB="0" distL="114300" distR="114300" simplePos="0" relativeHeight="251672576" behindDoc="0" locked="0" layoutInCell="1" allowOverlap="1">
                  <wp:simplePos x="0" y="0"/>
                  <wp:positionH relativeFrom="margin">
                    <wp:posOffset>52705</wp:posOffset>
                  </wp:positionH>
                  <wp:positionV relativeFrom="margin">
                    <wp:posOffset>33020</wp:posOffset>
                  </wp:positionV>
                  <wp:extent cx="321310" cy="323850"/>
                  <wp:effectExtent l="19050" t="0" r="2540" b="0"/>
                  <wp:wrapNone/>
                  <wp:docPr id="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71552" behindDoc="0" locked="0" layoutInCell="1" allowOverlap="1">
                  <wp:simplePos x="0" y="0"/>
                  <wp:positionH relativeFrom="margin">
                    <wp:posOffset>605155</wp:posOffset>
                  </wp:positionH>
                  <wp:positionV relativeFrom="margin">
                    <wp:posOffset>33020</wp:posOffset>
                  </wp:positionV>
                  <wp:extent cx="321945" cy="323850"/>
                  <wp:effectExtent l="19050" t="0" r="1905" b="0"/>
                  <wp:wrapNone/>
                  <wp:docPr id="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1945" cy="323850"/>
                          </a:xfrm>
                          <a:prstGeom prst="rect">
                            <a:avLst/>
                          </a:prstGeom>
                          <a:noFill/>
                        </pic:spPr>
                      </pic:pic>
                    </a:graphicData>
                  </a:graphic>
                </wp:anchor>
              </w:drawing>
            </w:r>
          </w:p>
        </w:tc>
        <w:tc>
          <w:tcPr>
            <w:tcW w:w="1701" w:type="dxa"/>
          </w:tcPr>
          <w:p w:rsidR="00DC32FF" w:rsidRPr="00AC60B9" w:rsidRDefault="004D5A9F" w:rsidP="00A54CA1">
            <w:pPr>
              <w:cnfStyle w:val="000000100000"/>
              <w:rPr>
                <w:rFonts w:ascii="Verdana" w:hAnsi="Verdana"/>
                <w:sz w:val="16"/>
                <w:szCs w:val="16"/>
              </w:rPr>
            </w:pPr>
            <w:r>
              <w:rPr>
                <w:rFonts w:ascii="Verdana" w:hAnsi="Verdana"/>
                <w:sz w:val="16"/>
                <w:szCs w:val="16"/>
              </w:rPr>
              <w:t>H</w:t>
            </w:r>
            <w:r w:rsidR="00F33F91">
              <w:rPr>
                <w:rFonts w:ascii="Verdana" w:hAnsi="Verdana"/>
                <w:sz w:val="16"/>
                <w:szCs w:val="16"/>
              </w:rPr>
              <w:t>302 H315 H319 H410</w:t>
            </w:r>
          </w:p>
        </w:tc>
        <w:tc>
          <w:tcPr>
            <w:tcW w:w="851" w:type="dxa"/>
          </w:tcPr>
          <w:p w:rsidR="00DC32FF" w:rsidRPr="00AC60B9" w:rsidRDefault="004D5A9F">
            <w:pPr>
              <w:cnfStyle w:val="000000100000"/>
              <w:rPr>
                <w:rFonts w:ascii="Verdana" w:hAnsi="Verdana"/>
                <w:sz w:val="16"/>
                <w:szCs w:val="16"/>
              </w:rPr>
            </w:pPr>
            <w:r>
              <w:rPr>
                <w:rFonts w:ascii="Verdana" w:hAnsi="Verdana"/>
                <w:sz w:val="16"/>
                <w:szCs w:val="16"/>
              </w:rPr>
              <w:t>---</w:t>
            </w:r>
          </w:p>
        </w:tc>
        <w:tc>
          <w:tcPr>
            <w:tcW w:w="1842" w:type="dxa"/>
          </w:tcPr>
          <w:p w:rsidR="00AC2676" w:rsidRPr="00AC60B9" w:rsidRDefault="00F33F91" w:rsidP="00A54CA1">
            <w:pPr>
              <w:cnfStyle w:val="000000100000"/>
              <w:rPr>
                <w:rFonts w:ascii="Verdana" w:hAnsi="Verdana"/>
                <w:sz w:val="16"/>
                <w:szCs w:val="16"/>
              </w:rPr>
            </w:pPr>
            <w:r>
              <w:rPr>
                <w:rFonts w:ascii="Verdana" w:hAnsi="Verdana"/>
                <w:sz w:val="16"/>
                <w:szCs w:val="16"/>
              </w:rPr>
              <w:t>P273 P302+352 P305+351+338</w:t>
            </w:r>
          </w:p>
        </w:tc>
        <w:tc>
          <w:tcPr>
            <w:tcW w:w="935" w:type="dxa"/>
          </w:tcPr>
          <w:p w:rsidR="00DC32FF" w:rsidRPr="00AC60B9" w:rsidRDefault="00A54CA1">
            <w:pPr>
              <w:cnfStyle w:val="000000100000"/>
              <w:rPr>
                <w:rFonts w:ascii="Verdana" w:hAnsi="Verdana"/>
                <w:sz w:val="16"/>
                <w:szCs w:val="16"/>
              </w:rPr>
            </w:pPr>
            <w:r>
              <w:rPr>
                <w:rFonts w:ascii="Verdana" w:hAnsi="Verdana"/>
                <w:sz w:val="16"/>
                <w:szCs w:val="16"/>
              </w:rPr>
              <w:t>---</w:t>
            </w:r>
          </w:p>
        </w:tc>
      </w:tr>
      <w:tr w:rsidR="00F33F91" w:rsidRPr="00AC60B9" w:rsidTr="00AC2676">
        <w:trPr>
          <w:trHeight w:val="708"/>
        </w:trPr>
        <w:tc>
          <w:tcPr>
            <w:cnfStyle w:val="001000000000"/>
            <w:tcW w:w="2376" w:type="dxa"/>
          </w:tcPr>
          <w:p w:rsidR="00F33F91" w:rsidRDefault="00F33F91" w:rsidP="002A3BB0">
            <w:pPr>
              <w:rPr>
                <w:rFonts w:ascii="Verdana" w:hAnsi="Verdana"/>
                <w:b w:val="0"/>
              </w:rPr>
            </w:pPr>
            <w:r>
              <w:rPr>
                <w:rFonts w:ascii="Verdana" w:hAnsi="Verdana"/>
                <w:b w:val="0"/>
              </w:rPr>
              <w:t>Kaliumnitrat</w:t>
            </w:r>
          </w:p>
        </w:tc>
        <w:tc>
          <w:tcPr>
            <w:tcW w:w="1276" w:type="dxa"/>
          </w:tcPr>
          <w:p w:rsidR="00F33F91" w:rsidRDefault="00F33F91">
            <w:pPr>
              <w:cnfStyle w:val="000000000000"/>
              <w:rPr>
                <w:rFonts w:ascii="Verdana" w:hAnsi="Verdana"/>
                <w:color w:val="7030A0"/>
              </w:rPr>
            </w:pPr>
            <w:r>
              <w:rPr>
                <w:rFonts w:ascii="Verdana" w:hAnsi="Verdana"/>
                <w:color w:val="7030A0"/>
              </w:rPr>
              <w:t>Ach</w:t>
            </w:r>
            <w:r w:rsidR="00E572E1">
              <w:rPr>
                <w:rFonts w:ascii="Verdana" w:hAnsi="Verdana"/>
                <w:color w:val="7030A0"/>
              </w:rPr>
              <w:t>t</w:t>
            </w:r>
            <w:r>
              <w:rPr>
                <w:rFonts w:ascii="Verdana" w:hAnsi="Verdana"/>
                <w:color w:val="7030A0"/>
              </w:rPr>
              <w:t>ung</w:t>
            </w:r>
          </w:p>
        </w:tc>
        <w:tc>
          <w:tcPr>
            <w:tcW w:w="1701" w:type="dxa"/>
          </w:tcPr>
          <w:p w:rsidR="00F33F91" w:rsidRDefault="00F33F91">
            <w:pPr>
              <w:cnfStyle w:val="000000000000"/>
              <w:rPr>
                <w:rFonts w:ascii="Arial" w:hAnsi="Arial"/>
                <w:noProof/>
                <w:lang w:val="de-CH"/>
              </w:rPr>
            </w:pPr>
            <w:r w:rsidRPr="00F33F91">
              <w:rPr>
                <w:rFonts w:ascii="Arial" w:hAnsi="Arial"/>
                <w:noProof/>
                <w:lang w:val="de-CH"/>
              </w:rPr>
              <w:drawing>
                <wp:anchor distT="0" distB="0" distL="114300" distR="114300" simplePos="0" relativeHeight="251674624" behindDoc="0" locked="0" layoutInCell="1" allowOverlap="1">
                  <wp:simplePos x="0" y="0"/>
                  <wp:positionH relativeFrom="margin">
                    <wp:posOffset>283845</wp:posOffset>
                  </wp:positionH>
                  <wp:positionV relativeFrom="margin">
                    <wp:posOffset>56515</wp:posOffset>
                  </wp:positionV>
                  <wp:extent cx="321310" cy="323850"/>
                  <wp:effectExtent l="19050" t="0" r="2540" b="0"/>
                  <wp:wrapNone/>
                  <wp:docPr id="10"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33F91" w:rsidRDefault="00F33F91" w:rsidP="00A54CA1">
            <w:pPr>
              <w:cnfStyle w:val="000000000000"/>
              <w:rPr>
                <w:rFonts w:ascii="Verdana" w:hAnsi="Verdana"/>
                <w:sz w:val="16"/>
                <w:szCs w:val="16"/>
              </w:rPr>
            </w:pPr>
            <w:r>
              <w:rPr>
                <w:rFonts w:ascii="Verdana" w:hAnsi="Verdana"/>
                <w:sz w:val="16"/>
                <w:szCs w:val="16"/>
              </w:rPr>
              <w:t>H272</w:t>
            </w:r>
          </w:p>
        </w:tc>
        <w:tc>
          <w:tcPr>
            <w:tcW w:w="851" w:type="dxa"/>
          </w:tcPr>
          <w:p w:rsidR="00F33F91" w:rsidRDefault="00F33F91">
            <w:pPr>
              <w:cnfStyle w:val="000000000000"/>
              <w:rPr>
                <w:rFonts w:ascii="Verdana" w:hAnsi="Verdana"/>
                <w:sz w:val="16"/>
                <w:szCs w:val="16"/>
              </w:rPr>
            </w:pPr>
            <w:r>
              <w:rPr>
                <w:rFonts w:ascii="Verdana" w:hAnsi="Verdana"/>
                <w:sz w:val="16"/>
                <w:szCs w:val="16"/>
              </w:rPr>
              <w:t>---</w:t>
            </w:r>
          </w:p>
        </w:tc>
        <w:tc>
          <w:tcPr>
            <w:tcW w:w="1842" w:type="dxa"/>
          </w:tcPr>
          <w:p w:rsidR="00F33F91" w:rsidRDefault="00F33F91" w:rsidP="00A54CA1">
            <w:pPr>
              <w:cnfStyle w:val="000000000000"/>
              <w:rPr>
                <w:rFonts w:ascii="Verdana" w:hAnsi="Verdana"/>
                <w:sz w:val="16"/>
                <w:szCs w:val="16"/>
              </w:rPr>
            </w:pPr>
            <w:r>
              <w:rPr>
                <w:rFonts w:ascii="Verdana" w:hAnsi="Verdana"/>
                <w:sz w:val="16"/>
                <w:szCs w:val="16"/>
              </w:rPr>
              <w:t>P210 P221</w:t>
            </w:r>
          </w:p>
        </w:tc>
        <w:tc>
          <w:tcPr>
            <w:tcW w:w="935" w:type="dxa"/>
          </w:tcPr>
          <w:p w:rsidR="00F33F91" w:rsidRDefault="006078A0">
            <w:pPr>
              <w:cnfStyle w:val="000000000000"/>
              <w:rPr>
                <w:rFonts w:ascii="Verdana" w:hAnsi="Verdana"/>
                <w:sz w:val="16"/>
                <w:szCs w:val="16"/>
              </w:rPr>
            </w:pPr>
            <w:r>
              <w:rPr>
                <w:rFonts w:ascii="Verdana" w:hAnsi="Verdana"/>
                <w:sz w:val="16"/>
                <w:szCs w:val="16"/>
              </w:rPr>
              <w:t>---</w:t>
            </w:r>
          </w:p>
        </w:tc>
      </w:tr>
      <w:tr w:rsidR="006078A0" w:rsidRPr="000F5CEC" w:rsidTr="00283C5E">
        <w:trPr>
          <w:cnfStyle w:val="000000100000"/>
          <w:trHeight w:val="708"/>
        </w:trPr>
        <w:tc>
          <w:tcPr>
            <w:cnfStyle w:val="001000000000"/>
            <w:tcW w:w="2376" w:type="dxa"/>
          </w:tcPr>
          <w:p w:rsidR="006078A0" w:rsidRDefault="006078A0" w:rsidP="00283C5E">
            <w:pPr>
              <w:rPr>
                <w:rFonts w:ascii="Verdana" w:hAnsi="Verdana"/>
                <w:b w:val="0"/>
              </w:rPr>
            </w:pPr>
            <w:r>
              <w:rPr>
                <w:rFonts w:ascii="Verdana" w:hAnsi="Verdana"/>
                <w:b w:val="0"/>
              </w:rPr>
              <w:t>Natronlauge 20%</w:t>
            </w:r>
          </w:p>
          <w:p w:rsidR="006078A0" w:rsidRDefault="006078A0" w:rsidP="00283C5E">
            <w:pPr>
              <w:rPr>
                <w:rFonts w:ascii="Verdana" w:hAnsi="Verdana"/>
                <w:b w:val="0"/>
                <w:sz w:val="16"/>
                <w:szCs w:val="16"/>
              </w:rPr>
            </w:pPr>
            <w:r>
              <w:rPr>
                <w:rFonts w:ascii="Verdana" w:hAnsi="Verdana"/>
                <w:b w:val="0"/>
                <w:sz w:val="16"/>
                <w:szCs w:val="16"/>
              </w:rPr>
              <w:t>(Natriumhydroxidlösung)</w:t>
            </w:r>
          </w:p>
          <w:p w:rsidR="006078A0" w:rsidRPr="00A66175" w:rsidRDefault="006078A0" w:rsidP="00283C5E">
            <w:pPr>
              <w:rPr>
                <w:rFonts w:ascii="Verdana" w:hAnsi="Verdana"/>
                <w:b w:val="0"/>
                <w:sz w:val="16"/>
                <w:szCs w:val="16"/>
              </w:rPr>
            </w:pPr>
            <w:r>
              <w:rPr>
                <w:rFonts w:ascii="Verdana" w:hAnsi="Verdana"/>
                <w:b w:val="0"/>
                <w:sz w:val="16"/>
                <w:szCs w:val="16"/>
              </w:rPr>
              <w:t>Zur Entsorgung</w:t>
            </w:r>
          </w:p>
        </w:tc>
        <w:tc>
          <w:tcPr>
            <w:tcW w:w="1276" w:type="dxa"/>
          </w:tcPr>
          <w:p w:rsidR="006078A0" w:rsidRDefault="006078A0" w:rsidP="00283C5E">
            <w:pPr>
              <w:cnfStyle w:val="000000100000"/>
              <w:rPr>
                <w:rFonts w:ascii="Verdana" w:hAnsi="Verdana"/>
                <w:color w:val="7030A0"/>
              </w:rPr>
            </w:pPr>
            <w:r>
              <w:rPr>
                <w:rFonts w:ascii="Verdana" w:hAnsi="Verdana"/>
                <w:color w:val="FF0000"/>
              </w:rPr>
              <w:t>Gefahr</w:t>
            </w:r>
          </w:p>
        </w:tc>
        <w:tc>
          <w:tcPr>
            <w:tcW w:w="1701" w:type="dxa"/>
          </w:tcPr>
          <w:p w:rsidR="006078A0" w:rsidRPr="00C02843" w:rsidRDefault="006078A0" w:rsidP="00283C5E">
            <w:pPr>
              <w:cnfStyle w:val="000000100000"/>
              <w:rPr>
                <w:rFonts w:ascii="Arial" w:hAnsi="Arial"/>
                <w:noProof/>
                <w:lang w:val="de-CH"/>
              </w:rPr>
            </w:pPr>
            <w:r w:rsidRPr="00A66175">
              <w:rPr>
                <w:rFonts w:ascii="Arial" w:hAnsi="Arial"/>
                <w:noProof/>
                <w:lang w:val="de-CH"/>
              </w:rPr>
              <w:drawing>
                <wp:anchor distT="0" distB="0" distL="114300" distR="114300" simplePos="0" relativeHeight="251676672" behindDoc="0" locked="0" layoutInCell="1" allowOverlap="1">
                  <wp:simplePos x="0" y="0"/>
                  <wp:positionH relativeFrom="margin">
                    <wp:posOffset>288151</wp:posOffset>
                  </wp:positionH>
                  <wp:positionV relativeFrom="margin">
                    <wp:posOffset>60458</wp:posOffset>
                  </wp:positionV>
                  <wp:extent cx="319604" cy="320723"/>
                  <wp:effectExtent l="19050" t="0" r="4246" b="0"/>
                  <wp:wrapNone/>
                  <wp:docPr id="3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6078A0" w:rsidRDefault="006078A0" w:rsidP="00283C5E">
            <w:pPr>
              <w:cnfStyle w:val="000000100000"/>
              <w:rPr>
                <w:rFonts w:ascii="Verdana" w:hAnsi="Verdana"/>
                <w:sz w:val="16"/>
                <w:szCs w:val="16"/>
              </w:rPr>
            </w:pPr>
            <w:r>
              <w:rPr>
                <w:rFonts w:ascii="Verdana" w:hAnsi="Verdana"/>
                <w:sz w:val="16"/>
                <w:szCs w:val="16"/>
              </w:rPr>
              <w:t xml:space="preserve">H290 H314 </w:t>
            </w:r>
          </w:p>
        </w:tc>
        <w:tc>
          <w:tcPr>
            <w:tcW w:w="851" w:type="dxa"/>
          </w:tcPr>
          <w:p w:rsidR="006078A0" w:rsidRDefault="006078A0" w:rsidP="00283C5E">
            <w:pPr>
              <w:cnfStyle w:val="000000100000"/>
              <w:rPr>
                <w:rFonts w:ascii="Verdana" w:hAnsi="Verdana"/>
                <w:sz w:val="16"/>
                <w:szCs w:val="16"/>
              </w:rPr>
            </w:pPr>
            <w:r>
              <w:rPr>
                <w:rFonts w:ascii="Verdana" w:hAnsi="Verdana"/>
                <w:sz w:val="16"/>
                <w:szCs w:val="16"/>
              </w:rPr>
              <w:t>---</w:t>
            </w:r>
          </w:p>
        </w:tc>
        <w:tc>
          <w:tcPr>
            <w:tcW w:w="1842" w:type="dxa"/>
          </w:tcPr>
          <w:p w:rsidR="006078A0" w:rsidRDefault="006078A0" w:rsidP="00283C5E">
            <w:pPr>
              <w:cnfStyle w:val="000000100000"/>
              <w:rPr>
                <w:rFonts w:ascii="Verdana" w:hAnsi="Verdana"/>
                <w:sz w:val="16"/>
                <w:szCs w:val="16"/>
              </w:rPr>
            </w:pPr>
            <w:r>
              <w:rPr>
                <w:rFonts w:ascii="Verdana" w:hAnsi="Verdana"/>
                <w:sz w:val="16"/>
                <w:szCs w:val="16"/>
              </w:rPr>
              <w:t>P280 P305+351+338 P313</w:t>
            </w:r>
          </w:p>
        </w:tc>
        <w:tc>
          <w:tcPr>
            <w:tcW w:w="935" w:type="dxa"/>
          </w:tcPr>
          <w:p w:rsidR="006078A0" w:rsidRDefault="006078A0" w:rsidP="00283C5E">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54CA1">
            <w:pPr>
              <w:rPr>
                <w:rFonts w:ascii="Verdana" w:hAnsi="Verdana"/>
                <w:b w:val="0"/>
              </w:rPr>
            </w:pPr>
            <w:r>
              <w:rPr>
                <w:rFonts w:ascii="Verdana" w:hAnsi="Verdana"/>
                <w:b w:val="0"/>
              </w:rPr>
              <w:t>Natrium</w:t>
            </w:r>
            <w:r w:rsidR="00933E7F">
              <w:rPr>
                <w:rFonts w:ascii="Verdana" w:hAnsi="Verdana"/>
                <w:b w:val="0"/>
              </w:rPr>
              <w:t>acetat-Trihydrat</w:t>
            </w:r>
          </w:p>
        </w:tc>
      </w:tr>
      <w:tr w:rsidR="00A54CA1" w:rsidTr="006133D7">
        <w:trPr>
          <w:cnfStyle w:val="000000100000"/>
          <w:trHeight w:val="454"/>
        </w:trPr>
        <w:tc>
          <w:tcPr>
            <w:cnfStyle w:val="001000000000"/>
            <w:tcW w:w="10606" w:type="dxa"/>
          </w:tcPr>
          <w:p w:rsidR="00A54CA1" w:rsidRDefault="00A54CA1">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Verdana" w:hAnsi="Verdana"/>
          <w:i/>
        </w:rPr>
      </w:pPr>
    </w:p>
    <w:p w:rsidR="00933E7F" w:rsidRP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933E7F">
        <w:rPr>
          <w:rFonts w:ascii="Verdana" w:hAnsi="Verdana"/>
          <w:i/>
        </w:rPr>
        <w:t>In zwei Bechergläser wird Kupfersulfat (CuSO</w:t>
      </w:r>
      <w:r w:rsidRPr="00933E7F">
        <w:rPr>
          <w:rFonts w:ascii="Verdana" w:hAnsi="Verdana"/>
          <w:i/>
          <w:vertAlign w:val="subscript"/>
        </w:rPr>
        <w:t>4</w:t>
      </w:r>
      <w:r w:rsidRPr="00933E7F">
        <w:rPr>
          <w:rFonts w:ascii="Verdana" w:hAnsi="Verdana"/>
          <w:i/>
        </w:rPr>
        <w:t xml:space="preserve">) gegeben, in das eine 6 g, in das zweite 20 g; beide werden mit je 40 ml destilliertem Wasser versetzt. Intensives Rühren zeigt, dass sich die 6 g relativ gut und schnell auflösen, dass sich aber auch beim intensiven Rühren die 20 g nicht vollständig lösen lassen. Dieses Becherglas wird anschließend erwärmt, bis das Kupfersulfat vollständig gelöst ist. Die beiden nebeneinander stehenden Bechergläser werden in ihrer unterschiedlichen Farbintensität verglichen und für 24 Stunden stehen gelassen. </w:t>
      </w:r>
    </w:p>
    <w:p w:rsidR="00933E7F" w:rsidRP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933E7F">
        <w:rPr>
          <w:rFonts w:ascii="Verdana" w:hAnsi="Verdana"/>
          <w:i/>
        </w:rPr>
        <w:t>Mit 100 g Kaliumnitrat (KNO</w:t>
      </w:r>
      <w:r w:rsidRPr="00933E7F">
        <w:rPr>
          <w:rFonts w:ascii="Verdana" w:hAnsi="Verdana"/>
          <w:i/>
          <w:vertAlign w:val="subscript"/>
        </w:rPr>
        <w:t>3</w:t>
      </w:r>
      <w:r w:rsidRPr="00933E7F">
        <w:rPr>
          <w:rFonts w:ascii="Verdana" w:hAnsi="Verdana"/>
          <w:i/>
        </w:rPr>
        <w:t>) in 100 ml Wasser wird dieses Experiment wiederholt; die Kristallisation beim Abkühlen der warm gesättigten Lösung ist noch am selben Tage zu beobachten.</w:t>
      </w:r>
    </w:p>
    <w:p w:rsidR="00933E7F" w:rsidRP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933E7F">
        <w:rPr>
          <w:rFonts w:ascii="Verdana" w:hAnsi="Verdana"/>
          <w:i/>
        </w:rPr>
        <w:t xml:space="preserve">470 g Natriumacetat mit 100 ml Wasser werden sanft erwärmt, schnell entsteht eine klare Lösung, diese wird ebenfalls für 24 Stunden verschlossen stehen gelassen. Dann wird ein kleines Kriställchen von Natriumacetat in die klare Lösung gegeben. </w:t>
      </w:r>
    </w:p>
    <w:p w:rsidR="00A54CA1" w:rsidRPr="00933E7F" w:rsidRDefault="00A54CA1"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C7699" w:rsidRDefault="008C7699">
      <w:pPr>
        <w:rPr>
          <w:rFonts w:ascii="Arial" w:hAnsi="Arial"/>
        </w:rPr>
      </w:pPr>
    </w:p>
    <w:p w:rsidR="006078A0" w:rsidRDefault="006078A0">
      <w:pPr>
        <w:rPr>
          <w:rFonts w:ascii="Arial" w:hAnsi="Arial"/>
        </w:rPr>
      </w:pPr>
    </w:p>
    <w:p w:rsidR="006078A0" w:rsidRDefault="006078A0">
      <w:pPr>
        <w:rPr>
          <w:rFonts w:ascii="Arial" w:hAnsi="Arial"/>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933E7F" w:rsidRDefault="00933E7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933E7F" w:rsidRP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933E7F">
        <w:rPr>
          <w:rFonts w:ascii="Verdana" w:hAnsi="Verdana"/>
          <w:i/>
        </w:rPr>
        <w:t>Kupfersulfatlösung: mit 20%</w:t>
      </w:r>
      <w:r w:rsidR="006078A0">
        <w:rPr>
          <w:rFonts w:ascii="Verdana" w:hAnsi="Verdana"/>
          <w:i/>
        </w:rPr>
        <w:t>iger</w:t>
      </w:r>
      <w:r w:rsidRPr="00933E7F">
        <w:rPr>
          <w:rFonts w:ascii="Verdana" w:hAnsi="Verdana"/>
          <w:i/>
        </w:rPr>
        <w:t xml:space="preserve"> NaOH Kupferhydroxid fällen (Sammelbehäl</w:t>
      </w:r>
      <w:r>
        <w:rPr>
          <w:rFonts w:ascii="Verdana" w:hAnsi="Verdana"/>
          <w:i/>
        </w:rPr>
        <w:t>ter</w:t>
      </w:r>
      <w:r w:rsidRPr="00933E7F">
        <w:rPr>
          <w:rFonts w:ascii="Verdana" w:hAnsi="Verdana"/>
          <w:i/>
        </w:rPr>
        <w:t xml:space="preserve"> </w:t>
      </w:r>
      <w:r>
        <w:rPr>
          <w:rFonts w:ascii="Verdana" w:hAnsi="Verdana"/>
          <w:i/>
        </w:rPr>
        <w:t>"Anorganische Feststoffe"</w:t>
      </w:r>
      <w:r w:rsidRPr="00933E7F">
        <w:rPr>
          <w:rFonts w:ascii="Verdana" w:hAnsi="Verdana"/>
          <w:i/>
        </w:rPr>
        <w:t>); übrige wässrige Lösungen verdünnen und über das Abwasser entsorgen.</w:t>
      </w:r>
      <w:r>
        <w:rPr>
          <w:rFonts w:ascii="Verdana" w:hAnsi="Verdana"/>
          <w:i/>
        </w:rPr>
        <w:t xml:space="preserve"> Besser: Lösungen eindunsten lassen und die ausfallenden Salze wieder verwerten.</w:t>
      </w:r>
      <w:r w:rsidR="006078A0">
        <w:rPr>
          <w:rFonts w:ascii="Verdana" w:hAnsi="Verdana"/>
          <w:i/>
        </w:rPr>
        <w:t xml:space="preserve"> Natriumacetat-Ansatz ist über Jahre wieder verwertbar.</w:t>
      </w:r>
    </w:p>
    <w:p w:rsidR="00A54CA1" w:rsidRPr="00A54CA1" w:rsidRDefault="00A54CA1" w:rsidP="00A54C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D5A9F">
            <w:pPr>
              <w:cnfStyle w:val="000000100000"/>
              <w:rPr>
                <w:rFonts w:ascii="Verdana" w:hAnsi="Verdana"/>
              </w:rPr>
            </w:pPr>
            <w:r>
              <w:rPr>
                <w:rFonts w:ascii="Verdana" w:hAnsi="Verdana"/>
              </w:rPr>
              <w:t>X</w:t>
            </w:r>
          </w:p>
        </w:tc>
        <w:tc>
          <w:tcPr>
            <w:tcW w:w="7371" w:type="dxa"/>
            <w:vMerge w:val="restart"/>
          </w:tcPr>
          <w:p w:rsidR="00AC60B9" w:rsidRPr="00382839" w:rsidRDefault="00A54CA1">
            <w:pPr>
              <w:cnfStyle w:val="000000100000"/>
              <w:rPr>
                <w:rFonts w:ascii="Verdana" w:hAnsi="Verdana"/>
              </w:rPr>
            </w:pPr>
            <w:r>
              <w:rPr>
                <w:rFonts w:ascii="Verdana" w:hAnsi="Verdana"/>
              </w:rPr>
              <w:t>Die Bariumchloridlösung ist von der Lehrkraft herzustellen.</w:t>
            </w:r>
            <w:r w:rsidR="00AC2676">
              <w:rPr>
                <w:rFonts w:ascii="Verdana" w:hAnsi="Verdana"/>
              </w:rPr>
              <w:t xml:space="preserve"> Die Anwendung der fertigen Lösung mit Hilfe eines Tropffläschchens ist für Schüler und Schülerinnen ab der Jahrgangsstufe 4 möglich.</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933E7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933E7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6078A0">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2266950</wp:posOffset>
            </wp:positionH>
            <wp:positionV relativeFrom="margin">
              <wp:posOffset>4959350</wp:posOffset>
            </wp:positionV>
            <wp:extent cx="400050" cy="40005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866775</wp:posOffset>
            </wp:positionH>
            <wp:positionV relativeFrom="margin">
              <wp:posOffset>4959350</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t>Schutzhandschuhe tragen</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A2459" w:rsidRDefault="00933E7F">
      <w:pPr>
        <w:rPr>
          <w:rFonts w:ascii="Verdana" w:hAnsi="Verdana"/>
          <w:i/>
        </w:rPr>
      </w:pPr>
      <w:r>
        <w:rPr>
          <w:rFonts w:ascii="Verdana" w:hAnsi="Verdana"/>
          <w:i/>
        </w:rPr>
        <w:t>Keine</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sstufe 4 werden beachtet, ebenso die Betriebsanweisungen für ältere Schülerinnen und Schüler</w:t>
      </w:r>
    </w:p>
    <w:p w:rsidR="001A2459" w:rsidRDefault="001A2459">
      <w:pPr>
        <w:rPr>
          <w:rFonts w:ascii="Arial" w:hAnsi="Arial"/>
        </w:rPr>
      </w:pPr>
    </w:p>
    <w:p w:rsidR="001A2459" w:rsidRDefault="001A2459">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6078A0" w:rsidRDefault="006078A0">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933E7F" w:rsidRDefault="00F33F91" w:rsidP="00D906C4">
      <w:pPr>
        <w:pBdr>
          <w:between w:val="single" w:sz="4" w:space="1" w:color="auto"/>
          <w:bar w:val="single" w:sz="4" w:color="auto"/>
        </w:pBdr>
        <w:shd w:val="clear" w:color="auto" w:fill="F7CAAC" w:themeFill="accent2" w:themeFillTint="66"/>
        <w:rPr>
          <w:rFonts w:ascii="Verdana" w:hAnsi="Verdana"/>
          <w:sz w:val="16"/>
          <w:szCs w:val="16"/>
          <w:lang w:val="de-CH"/>
        </w:rPr>
      </w:pPr>
      <w:r w:rsidRPr="00F33F91">
        <w:rPr>
          <w:rFonts w:ascii="Verdana" w:hAnsi="Verdana"/>
          <w:sz w:val="16"/>
          <w:szCs w:val="16"/>
          <w:lang w:val="de-CH"/>
        </w:rPr>
        <w:t>H272</w:t>
      </w:r>
      <w:r w:rsidRPr="00F33F91">
        <w:rPr>
          <w:rFonts w:ascii="Verdana" w:hAnsi="Verdana"/>
          <w:sz w:val="16"/>
          <w:szCs w:val="16"/>
          <w:lang w:val="de-CH"/>
        </w:rPr>
        <w:tab/>
      </w:r>
      <w:r w:rsidR="00933E7F">
        <w:rPr>
          <w:rFonts w:ascii="Verdana" w:hAnsi="Verdana"/>
          <w:sz w:val="16"/>
          <w:szCs w:val="16"/>
          <w:lang w:val="de-CH"/>
        </w:rPr>
        <w:tab/>
      </w:r>
      <w:r w:rsidR="00933E7F">
        <w:rPr>
          <w:rFonts w:ascii="Verdana" w:hAnsi="Verdana"/>
          <w:sz w:val="16"/>
          <w:szCs w:val="16"/>
          <w:lang w:val="de-CH"/>
        </w:rPr>
        <w:tab/>
      </w:r>
      <w:r w:rsidRPr="00F33F91">
        <w:rPr>
          <w:rFonts w:ascii="Verdana" w:hAnsi="Verdana"/>
          <w:sz w:val="16"/>
          <w:szCs w:val="16"/>
          <w:lang w:val="de-CH"/>
        </w:rPr>
        <w:t>Kann Brand verstärken.</w:t>
      </w:r>
      <w:r w:rsidR="00D906C4" w:rsidRPr="001A2459">
        <w:rPr>
          <w:rFonts w:ascii="Verdana" w:hAnsi="Verdana"/>
          <w:sz w:val="16"/>
          <w:szCs w:val="16"/>
          <w:lang w:val="de-CH"/>
        </w:rPr>
        <w:tab/>
      </w:r>
    </w:p>
    <w:p w:rsidR="006078A0" w:rsidRDefault="006078A0" w:rsidP="00D906C4">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H290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Kann gegenüber Metallen korrosiv sein.</w:t>
      </w:r>
    </w:p>
    <w:p w:rsidR="00933E7F" w:rsidRDefault="00933E7F" w:rsidP="00933E7F">
      <w:pPr>
        <w:pBdr>
          <w:between w:val="single" w:sz="4" w:space="1" w:color="auto"/>
          <w:bar w:val="single" w:sz="4" w:color="auto"/>
        </w:pBdr>
        <w:shd w:val="clear" w:color="auto" w:fill="F7CAAC" w:themeFill="accent2" w:themeFillTint="66"/>
        <w:rPr>
          <w:rFonts w:ascii="Verdana" w:hAnsi="Verdana"/>
          <w:sz w:val="16"/>
          <w:szCs w:val="16"/>
          <w:lang w:val="de-CH"/>
        </w:rPr>
      </w:pPr>
      <w:r w:rsidRPr="00933E7F">
        <w:rPr>
          <w:rFonts w:ascii="Verdana" w:hAnsi="Verdana"/>
          <w:sz w:val="16"/>
          <w:szCs w:val="16"/>
          <w:lang w:val="de-CH"/>
        </w:rPr>
        <w:t>H302</w:t>
      </w:r>
      <w:r w:rsidRPr="00933E7F">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33E7F">
        <w:rPr>
          <w:rFonts w:ascii="Verdana" w:hAnsi="Verdana"/>
          <w:sz w:val="16"/>
          <w:szCs w:val="16"/>
          <w:lang w:val="de-CH"/>
        </w:rPr>
        <w:t>Gesundheitsschädlich bei Verschlucken.</w:t>
      </w:r>
    </w:p>
    <w:p w:rsidR="006078A0" w:rsidRPr="00933E7F" w:rsidRDefault="006078A0" w:rsidP="00933E7F">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H314</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Verursacht schwere Verätzungen der Haut und schwere Augenschäden.</w:t>
      </w:r>
    </w:p>
    <w:p w:rsidR="00933E7F" w:rsidRPr="00933E7F" w:rsidRDefault="00933E7F" w:rsidP="00933E7F">
      <w:pPr>
        <w:pBdr>
          <w:between w:val="single" w:sz="4" w:space="1" w:color="auto"/>
          <w:bar w:val="single" w:sz="4" w:color="auto"/>
        </w:pBdr>
        <w:shd w:val="clear" w:color="auto" w:fill="F7CAAC" w:themeFill="accent2" w:themeFillTint="66"/>
        <w:rPr>
          <w:rFonts w:ascii="Verdana" w:hAnsi="Verdana"/>
          <w:sz w:val="16"/>
          <w:szCs w:val="16"/>
          <w:lang w:val="de-CH"/>
        </w:rPr>
      </w:pPr>
      <w:r w:rsidRPr="00933E7F">
        <w:rPr>
          <w:rFonts w:ascii="Verdana" w:hAnsi="Verdana"/>
          <w:sz w:val="16"/>
          <w:szCs w:val="16"/>
          <w:lang w:val="de-CH"/>
        </w:rPr>
        <w:t>H315</w:t>
      </w:r>
      <w:r w:rsidRPr="00933E7F">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33E7F">
        <w:rPr>
          <w:rFonts w:ascii="Verdana" w:hAnsi="Verdana"/>
          <w:sz w:val="16"/>
          <w:szCs w:val="16"/>
          <w:lang w:val="de-CH"/>
        </w:rPr>
        <w:t>Verursacht Hautreizungen.</w:t>
      </w:r>
    </w:p>
    <w:p w:rsidR="00933E7F" w:rsidRPr="00933E7F" w:rsidRDefault="00933E7F" w:rsidP="00933E7F">
      <w:pPr>
        <w:pBdr>
          <w:between w:val="single" w:sz="4" w:space="1" w:color="auto"/>
          <w:bar w:val="single" w:sz="4" w:color="auto"/>
        </w:pBdr>
        <w:shd w:val="clear" w:color="auto" w:fill="F7CAAC" w:themeFill="accent2" w:themeFillTint="66"/>
        <w:rPr>
          <w:rFonts w:ascii="Verdana" w:hAnsi="Verdana"/>
          <w:sz w:val="16"/>
          <w:szCs w:val="16"/>
          <w:lang w:val="de-CH"/>
        </w:rPr>
      </w:pPr>
      <w:r w:rsidRPr="00933E7F">
        <w:rPr>
          <w:rFonts w:ascii="Verdana" w:hAnsi="Verdana"/>
          <w:sz w:val="16"/>
          <w:szCs w:val="16"/>
          <w:lang w:val="de-CH"/>
        </w:rPr>
        <w:t>H319</w:t>
      </w:r>
      <w:r w:rsidRPr="00933E7F">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33E7F">
        <w:rPr>
          <w:rFonts w:ascii="Verdana" w:hAnsi="Verdana"/>
          <w:sz w:val="16"/>
          <w:szCs w:val="16"/>
          <w:lang w:val="de-CH"/>
        </w:rPr>
        <w:t>Verursacht schwere Augenreizung.</w:t>
      </w:r>
    </w:p>
    <w:p w:rsidR="00D906C4" w:rsidRPr="001A2459" w:rsidRDefault="00933E7F" w:rsidP="00933E7F">
      <w:pPr>
        <w:pBdr>
          <w:between w:val="single" w:sz="4" w:space="1" w:color="auto"/>
          <w:bar w:val="single" w:sz="4" w:color="auto"/>
        </w:pBdr>
        <w:shd w:val="clear" w:color="auto" w:fill="F7CAAC" w:themeFill="accent2" w:themeFillTint="66"/>
        <w:rPr>
          <w:rFonts w:ascii="Verdana" w:hAnsi="Verdana"/>
          <w:sz w:val="16"/>
          <w:szCs w:val="16"/>
          <w:lang w:val="de-CH"/>
        </w:rPr>
      </w:pPr>
      <w:r w:rsidRPr="00933E7F">
        <w:rPr>
          <w:rFonts w:ascii="Verdana" w:hAnsi="Verdana"/>
          <w:sz w:val="16"/>
          <w:szCs w:val="16"/>
          <w:lang w:val="de-CH"/>
        </w:rPr>
        <w:t>H410</w:t>
      </w:r>
      <w:r w:rsidRPr="00933E7F">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933E7F">
        <w:rPr>
          <w:rFonts w:ascii="Verdana" w:hAnsi="Verdana"/>
          <w:sz w:val="16"/>
          <w:szCs w:val="16"/>
          <w:lang w:val="de-CH"/>
        </w:rPr>
        <w:t>Sehr giftig für Wasserorganismen mit langfristiger Wirkung.</w:t>
      </w:r>
      <w:r w:rsidR="001A2459" w:rsidRPr="001A2459">
        <w:rPr>
          <w:rFonts w:ascii="Verdana" w:hAnsi="Verdana"/>
          <w:sz w:val="16"/>
          <w:szCs w:val="16"/>
          <w:lang w:val="de-CH"/>
        </w:rPr>
        <w:tab/>
      </w:r>
    </w:p>
    <w:p w:rsidR="00D12FDC" w:rsidRPr="001A2459" w:rsidRDefault="00D12FDC" w:rsidP="00D12FDC">
      <w:pPr>
        <w:pBdr>
          <w:between w:val="single" w:sz="4" w:space="1" w:color="auto"/>
          <w:bar w:val="single" w:sz="4" w:color="auto"/>
        </w:pBdr>
        <w:rPr>
          <w:rFonts w:ascii="Verdana" w:hAnsi="Verdana"/>
          <w:b/>
          <w:sz w:val="16"/>
          <w:szCs w:val="16"/>
        </w:rPr>
      </w:pPr>
    </w:p>
    <w:p w:rsidR="00933E7F" w:rsidRPr="00933E7F" w:rsidRDefault="00933E7F" w:rsidP="00933E7F">
      <w:pPr>
        <w:pBdr>
          <w:between w:val="single" w:sz="4" w:space="1" w:color="auto"/>
          <w:bar w:val="single" w:sz="4" w:color="auto"/>
        </w:pBdr>
        <w:shd w:val="clear" w:color="auto" w:fill="BDD6EE" w:themeFill="accent1" w:themeFillTint="66"/>
        <w:rPr>
          <w:rFonts w:ascii="Verdana" w:hAnsi="Verdana"/>
          <w:sz w:val="16"/>
          <w:szCs w:val="16"/>
        </w:rPr>
      </w:pPr>
      <w:r w:rsidRPr="00933E7F">
        <w:rPr>
          <w:rFonts w:ascii="Verdana" w:hAnsi="Verdana"/>
          <w:sz w:val="16"/>
          <w:szCs w:val="16"/>
        </w:rPr>
        <w:t>P210</w:t>
      </w:r>
      <w:r w:rsidRPr="00933E7F">
        <w:rPr>
          <w:rFonts w:ascii="Verdana" w:hAnsi="Verdana"/>
          <w:sz w:val="16"/>
          <w:szCs w:val="16"/>
        </w:rPr>
        <w:tab/>
      </w:r>
      <w:r>
        <w:rPr>
          <w:rFonts w:ascii="Verdana" w:hAnsi="Verdana"/>
          <w:sz w:val="16"/>
          <w:szCs w:val="16"/>
        </w:rPr>
        <w:tab/>
      </w:r>
      <w:r>
        <w:rPr>
          <w:rFonts w:ascii="Verdana" w:hAnsi="Verdana"/>
          <w:sz w:val="16"/>
          <w:szCs w:val="16"/>
        </w:rPr>
        <w:tab/>
      </w:r>
      <w:r w:rsidRPr="00933E7F">
        <w:rPr>
          <w:rFonts w:ascii="Verdana" w:hAnsi="Verdana"/>
          <w:sz w:val="16"/>
          <w:szCs w:val="16"/>
        </w:rPr>
        <w:t>Von Hitze / Funken / offener Flamme / heißen Oberfl</w:t>
      </w:r>
      <w:r>
        <w:rPr>
          <w:rFonts w:ascii="Verdana" w:hAnsi="Verdana"/>
          <w:sz w:val="16"/>
          <w:szCs w:val="16"/>
        </w:rPr>
        <w:t xml:space="preserve">ächen fernhalten. </w:t>
      </w:r>
    </w:p>
    <w:p w:rsidR="00D906C4" w:rsidRDefault="00933E7F" w:rsidP="00933E7F">
      <w:pPr>
        <w:pBdr>
          <w:between w:val="single" w:sz="4" w:space="1" w:color="auto"/>
          <w:bar w:val="single" w:sz="4" w:color="auto"/>
        </w:pBdr>
        <w:shd w:val="clear" w:color="auto" w:fill="BDD6EE" w:themeFill="accent1" w:themeFillTint="66"/>
        <w:rPr>
          <w:rFonts w:ascii="Verdana" w:hAnsi="Verdana"/>
          <w:sz w:val="16"/>
          <w:szCs w:val="16"/>
          <w:lang w:eastAsia="zh-CN"/>
        </w:rPr>
      </w:pPr>
      <w:r w:rsidRPr="00933E7F">
        <w:rPr>
          <w:rFonts w:ascii="Verdana" w:hAnsi="Verdana"/>
          <w:sz w:val="16"/>
          <w:szCs w:val="16"/>
        </w:rPr>
        <w:t>P221</w:t>
      </w:r>
      <w:r w:rsidRPr="00933E7F">
        <w:rPr>
          <w:rFonts w:ascii="Verdana" w:hAnsi="Verdana"/>
          <w:sz w:val="16"/>
          <w:szCs w:val="16"/>
        </w:rPr>
        <w:tab/>
      </w:r>
      <w:r>
        <w:rPr>
          <w:rFonts w:ascii="Verdana" w:hAnsi="Verdana"/>
          <w:sz w:val="16"/>
          <w:szCs w:val="16"/>
        </w:rPr>
        <w:tab/>
      </w:r>
      <w:r>
        <w:rPr>
          <w:rFonts w:ascii="Verdana" w:hAnsi="Verdana"/>
          <w:sz w:val="16"/>
          <w:szCs w:val="16"/>
        </w:rPr>
        <w:tab/>
      </w:r>
      <w:r w:rsidRPr="00933E7F">
        <w:rPr>
          <w:rFonts w:ascii="Verdana" w:hAnsi="Verdana"/>
          <w:sz w:val="16"/>
          <w:szCs w:val="16"/>
        </w:rPr>
        <w:t>Mis</w:t>
      </w:r>
      <w:r>
        <w:rPr>
          <w:rFonts w:ascii="Verdana" w:hAnsi="Verdana"/>
          <w:sz w:val="16"/>
          <w:szCs w:val="16"/>
        </w:rPr>
        <w:t>chen mit brennbaren Stoffen</w:t>
      </w:r>
      <w:r w:rsidRPr="00933E7F">
        <w:rPr>
          <w:rFonts w:ascii="Verdana" w:hAnsi="Verdana"/>
          <w:sz w:val="16"/>
          <w:szCs w:val="16"/>
        </w:rPr>
        <w:t xml:space="preserve"> unbedingt verhindern.</w:t>
      </w:r>
      <w:r w:rsidR="00AC2676">
        <w:rPr>
          <w:rFonts w:ascii="Verdana" w:hAnsi="Verdana"/>
          <w:sz w:val="16"/>
          <w:szCs w:val="16"/>
        </w:rPr>
        <w:tab/>
      </w:r>
    </w:p>
    <w:p w:rsidR="00933E7F" w:rsidRDefault="00933E7F" w:rsidP="00933E7F">
      <w:pPr>
        <w:pBdr>
          <w:between w:val="single" w:sz="4" w:space="1" w:color="auto"/>
          <w:bar w:val="single" w:sz="4" w:color="auto"/>
        </w:pBdr>
        <w:shd w:val="clear" w:color="auto" w:fill="BDD6EE" w:themeFill="accent1" w:themeFillTint="66"/>
        <w:rPr>
          <w:rFonts w:ascii="Verdana" w:hAnsi="Verdana"/>
          <w:sz w:val="16"/>
          <w:szCs w:val="16"/>
        </w:rPr>
      </w:pPr>
      <w:r w:rsidRPr="00933E7F">
        <w:rPr>
          <w:rFonts w:ascii="Verdana" w:hAnsi="Verdana"/>
          <w:sz w:val="16"/>
          <w:szCs w:val="16"/>
        </w:rPr>
        <w:t>P273</w:t>
      </w:r>
      <w:r w:rsidRPr="00933E7F">
        <w:rPr>
          <w:rFonts w:ascii="Verdana" w:hAnsi="Verdana"/>
          <w:sz w:val="16"/>
          <w:szCs w:val="16"/>
        </w:rPr>
        <w:tab/>
      </w:r>
      <w:r>
        <w:rPr>
          <w:rFonts w:ascii="Verdana" w:hAnsi="Verdana"/>
          <w:sz w:val="16"/>
          <w:szCs w:val="16"/>
        </w:rPr>
        <w:tab/>
      </w:r>
      <w:r>
        <w:rPr>
          <w:rFonts w:ascii="Verdana" w:hAnsi="Verdana"/>
          <w:sz w:val="16"/>
          <w:szCs w:val="16"/>
        </w:rPr>
        <w:tab/>
      </w:r>
      <w:r w:rsidRPr="00933E7F">
        <w:rPr>
          <w:rFonts w:ascii="Verdana" w:hAnsi="Verdana"/>
          <w:sz w:val="16"/>
          <w:szCs w:val="16"/>
        </w:rPr>
        <w:t>Freisetzung in die Umwelt vermeiden.</w:t>
      </w:r>
    </w:p>
    <w:p w:rsidR="006078A0" w:rsidRPr="00933E7F" w:rsidRDefault="006078A0" w:rsidP="00933E7F">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P280</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w:t>
      </w:r>
      <w:r>
        <w:rPr>
          <w:rFonts w:ascii="Verdana" w:hAnsi="Verdana"/>
          <w:sz w:val="16"/>
          <w:szCs w:val="16"/>
          <w:lang w:eastAsia="zh-CN"/>
        </w:rPr>
        <w:t>idung/Augenschutz</w:t>
      </w:r>
      <w:r w:rsidRPr="00693B6E">
        <w:rPr>
          <w:rFonts w:ascii="Verdana" w:hAnsi="Verdana"/>
          <w:sz w:val="16"/>
          <w:szCs w:val="16"/>
          <w:lang w:eastAsia="zh-CN"/>
        </w:rPr>
        <w:t xml:space="preserve"> tragen</w:t>
      </w:r>
      <w:r>
        <w:rPr>
          <w:rFonts w:ascii="Verdana" w:hAnsi="Verdana"/>
          <w:sz w:val="16"/>
          <w:szCs w:val="16"/>
          <w:lang w:eastAsia="zh-CN"/>
        </w:rPr>
        <w:t>.</w:t>
      </w:r>
    </w:p>
    <w:p w:rsidR="00933E7F" w:rsidRPr="00933E7F" w:rsidRDefault="00933E7F" w:rsidP="00933E7F">
      <w:pPr>
        <w:pBdr>
          <w:between w:val="single" w:sz="4" w:space="1" w:color="auto"/>
          <w:bar w:val="single" w:sz="4" w:color="auto"/>
        </w:pBdr>
        <w:shd w:val="clear" w:color="auto" w:fill="BDD6EE" w:themeFill="accent1" w:themeFillTint="66"/>
        <w:rPr>
          <w:rFonts w:ascii="Verdana" w:hAnsi="Verdana"/>
          <w:sz w:val="16"/>
          <w:szCs w:val="16"/>
        </w:rPr>
      </w:pPr>
      <w:r w:rsidRPr="00933E7F">
        <w:rPr>
          <w:rFonts w:ascii="Verdana" w:hAnsi="Verdana"/>
          <w:sz w:val="16"/>
          <w:szCs w:val="16"/>
        </w:rPr>
        <w:t>P302+352</w:t>
      </w:r>
      <w:r w:rsidRPr="00933E7F">
        <w:rPr>
          <w:rFonts w:ascii="Verdana" w:hAnsi="Verdana"/>
          <w:sz w:val="16"/>
          <w:szCs w:val="16"/>
        </w:rPr>
        <w:tab/>
      </w:r>
      <w:r>
        <w:rPr>
          <w:rFonts w:ascii="Verdana" w:hAnsi="Verdana"/>
          <w:sz w:val="16"/>
          <w:szCs w:val="16"/>
        </w:rPr>
        <w:tab/>
      </w:r>
      <w:r w:rsidRPr="00933E7F">
        <w:rPr>
          <w:rFonts w:ascii="Verdana" w:hAnsi="Verdana"/>
          <w:sz w:val="16"/>
          <w:szCs w:val="16"/>
        </w:rPr>
        <w:t>Bei Kontakt mit der Haut: Mit viel Wasser und Seife waschen.</w:t>
      </w:r>
    </w:p>
    <w:p w:rsidR="00AC2676" w:rsidRPr="001A2459" w:rsidRDefault="00933E7F" w:rsidP="00933E7F">
      <w:pPr>
        <w:pBdr>
          <w:between w:val="single" w:sz="4" w:space="1" w:color="auto"/>
          <w:bar w:val="single" w:sz="4" w:color="auto"/>
        </w:pBdr>
        <w:shd w:val="clear" w:color="auto" w:fill="BDD6EE" w:themeFill="accent1" w:themeFillTint="66"/>
        <w:rPr>
          <w:rFonts w:ascii="Verdana" w:hAnsi="Verdana"/>
          <w:sz w:val="16"/>
          <w:szCs w:val="16"/>
        </w:rPr>
      </w:pPr>
      <w:r w:rsidRPr="00933E7F">
        <w:rPr>
          <w:rFonts w:ascii="Verdana" w:hAnsi="Verdana"/>
          <w:sz w:val="16"/>
          <w:szCs w:val="16"/>
        </w:rPr>
        <w:t>P305+351+338</w:t>
      </w:r>
      <w:r w:rsidRPr="00933E7F">
        <w:rPr>
          <w:rFonts w:ascii="Verdana" w:hAnsi="Verdana"/>
          <w:sz w:val="16"/>
          <w:szCs w:val="16"/>
        </w:rPr>
        <w:tab/>
      </w:r>
      <w:r>
        <w:rPr>
          <w:rFonts w:ascii="Verdana" w:hAnsi="Verdana"/>
          <w:sz w:val="16"/>
          <w:szCs w:val="16"/>
        </w:rPr>
        <w:tab/>
      </w:r>
      <w:r w:rsidRPr="00933E7F">
        <w:rPr>
          <w:rFonts w:ascii="Verdana" w:hAnsi="Verdana"/>
          <w:sz w:val="16"/>
          <w:szCs w:val="16"/>
        </w:rPr>
        <w:t xml:space="preserve">Bei Kontakt mit den Augen: Einige Minuten lang behutsam mit Wasser spülen. Vorhandene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933E7F">
        <w:rPr>
          <w:rFonts w:ascii="Verdana" w:hAnsi="Verdana"/>
          <w:sz w:val="16"/>
          <w:szCs w:val="16"/>
        </w:rPr>
        <w:t>Kontaktlinsen nach Möglichkeit entfernen. Weiter spülen.</w:t>
      </w:r>
      <w:r w:rsidR="00AC2676">
        <w:rPr>
          <w:rFonts w:ascii="Verdana" w:hAnsi="Verdana"/>
          <w:sz w:val="16"/>
          <w:szCs w:val="16"/>
        </w:rPr>
        <w:tab/>
      </w:r>
      <w:r w:rsidR="00AC2676">
        <w:rPr>
          <w:rFonts w:ascii="Verdana" w:hAnsi="Verdana"/>
          <w:sz w:val="16"/>
          <w:szCs w:val="16"/>
        </w:rPr>
        <w:tab/>
      </w:r>
    </w:p>
    <w:p w:rsidR="00624D80" w:rsidRDefault="00624D80">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Pr="00094BA1" w:rsidRDefault="00E572E1">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E572E1" w:rsidRDefault="00E572E1">
      <w:pPr>
        <w:rPr>
          <w:rFonts w:ascii="Arial" w:hAnsi="Arial"/>
          <w:sz w:val="24"/>
        </w:rPr>
      </w:pPr>
    </w:p>
    <w:p w:rsidR="00E572E1" w:rsidRDefault="00E572E1">
      <w:pPr>
        <w:rPr>
          <w:rFonts w:ascii="Arial" w:hAnsi="Arial"/>
          <w:sz w:val="24"/>
        </w:rPr>
      </w:pPr>
    </w:p>
    <w:p w:rsidR="001A2459" w:rsidRDefault="001A245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1A2459" w:rsidRDefault="001A2459">
      <w:pPr>
        <w:rPr>
          <w:rFonts w:ascii="Verdana" w:hAnsi="Verdana"/>
        </w:rPr>
      </w:pPr>
    </w:p>
    <w:p w:rsidR="00E572E1" w:rsidRDefault="00E572E1">
      <w:pPr>
        <w:rPr>
          <w:rFonts w:ascii="Verdana" w:hAnsi="Verdana"/>
        </w:rPr>
      </w:pPr>
    </w:p>
    <w:p w:rsidR="00E572E1" w:rsidRDefault="00E572E1">
      <w:pPr>
        <w:rPr>
          <w:rFonts w:ascii="Verdana" w:hAnsi="Verdana"/>
        </w:rPr>
      </w:pPr>
    </w:p>
    <w:p w:rsidR="00015609" w:rsidRDefault="00015609">
      <w:pPr>
        <w:rPr>
          <w:rFonts w:ascii="Verdana" w:hAnsi="Verdana"/>
        </w:rPr>
      </w:pPr>
    </w:p>
    <w:p w:rsidR="001A2459" w:rsidRDefault="00015609">
      <w:pPr>
        <w:rPr>
          <w:rFonts w:ascii="Verdana" w:hAnsi="Verdana"/>
        </w:rPr>
      </w:pPr>
      <w:r>
        <w:rPr>
          <w:rFonts w:ascii="Verdana" w:hAnsi="Verdana"/>
        </w:rPr>
        <w:t>Schulstempe</w:t>
      </w:r>
      <w:r w:rsidR="00AC2676">
        <w:rPr>
          <w:rFonts w:ascii="Verdana" w:hAnsi="Verdana"/>
        </w:rPr>
        <w:t>l</w:t>
      </w:r>
    </w:p>
    <w:p w:rsidR="001A2459" w:rsidRDefault="001A2459">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E572E1" w:rsidRDefault="00E572E1">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133075">
        <w:rPr>
          <w:rFonts w:ascii="Verdana" w:hAnsi="Verdana"/>
          <w:sz w:val="16"/>
          <w:szCs w:val="16"/>
        </w:rPr>
        <w:t>ule Zürich / Erstelldatum: 07.10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CD" w:rsidRDefault="00E501CD" w:rsidP="00015609">
      <w:r>
        <w:separator/>
      </w:r>
    </w:p>
  </w:endnote>
  <w:endnote w:type="continuationSeparator" w:id="0">
    <w:p w:rsidR="00E501CD" w:rsidRDefault="00E501C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CD" w:rsidRDefault="00E501CD" w:rsidP="00015609">
      <w:r>
        <w:separator/>
      </w:r>
    </w:p>
  </w:footnote>
  <w:footnote w:type="continuationSeparator" w:id="0">
    <w:p w:rsidR="00E501CD" w:rsidRDefault="00E501CD"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8D21B0" w:rsidP="00015609">
    <w:pPr>
      <w:pStyle w:val="Kopfzeile"/>
      <w:tabs>
        <w:tab w:val="clear" w:pos="4536"/>
        <w:tab w:val="clear" w:pos="9072"/>
        <w:tab w:val="left" w:pos="8445"/>
      </w:tabs>
    </w:pPr>
    <w:r w:rsidRPr="008D21B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8D21B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8D21B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2459"/>
    <w:rsid w:val="001A6020"/>
    <w:rsid w:val="001C32D5"/>
    <w:rsid w:val="001E1C19"/>
    <w:rsid w:val="001E2122"/>
    <w:rsid w:val="001E53A7"/>
    <w:rsid w:val="001F0F23"/>
    <w:rsid w:val="00221ED2"/>
    <w:rsid w:val="002328B6"/>
    <w:rsid w:val="0024642C"/>
    <w:rsid w:val="00260D73"/>
    <w:rsid w:val="002A3BB0"/>
    <w:rsid w:val="002E3A90"/>
    <w:rsid w:val="002E3B1E"/>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815CD"/>
    <w:rsid w:val="00491344"/>
    <w:rsid w:val="004A0699"/>
    <w:rsid w:val="004B4FF4"/>
    <w:rsid w:val="004D5A9F"/>
    <w:rsid w:val="00523D26"/>
    <w:rsid w:val="005643F9"/>
    <w:rsid w:val="005759A4"/>
    <w:rsid w:val="005A207F"/>
    <w:rsid w:val="005A4729"/>
    <w:rsid w:val="005E2480"/>
    <w:rsid w:val="006078A0"/>
    <w:rsid w:val="006133D7"/>
    <w:rsid w:val="006235DF"/>
    <w:rsid w:val="00624D80"/>
    <w:rsid w:val="006263D1"/>
    <w:rsid w:val="00655BBC"/>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D21B0"/>
    <w:rsid w:val="008F4F72"/>
    <w:rsid w:val="00907BD8"/>
    <w:rsid w:val="009253B0"/>
    <w:rsid w:val="00933E7F"/>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54CA1"/>
    <w:rsid w:val="00A57BC7"/>
    <w:rsid w:val="00A6055C"/>
    <w:rsid w:val="00A645BB"/>
    <w:rsid w:val="00A70890"/>
    <w:rsid w:val="00A77634"/>
    <w:rsid w:val="00A8046D"/>
    <w:rsid w:val="00A91936"/>
    <w:rsid w:val="00AC2676"/>
    <w:rsid w:val="00AC37A7"/>
    <w:rsid w:val="00AC60B9"/>
    <w:rsid w:val="00AE4E6E"/>
    <w:rsid w:val="00B03BAF"/>
    <w:rsid w:val="00B03E55"/>
    <w:rsid w:val="00B11E40"/>
    <w:rsid w:val="00B150DF"/>
    <w:rsid w:val="00B212F4"/>
    <w:rsid w:val="00B308B5"/>
    <w:rsid w:val="00B61890"/>
    <w:rsid w:val="00B65545"/>
    <w:rsid w:val="00B83007"/>
    <w:rsid w:val="00BF4696"/>
    <w:rsid w:val="00BF7628"/>
    <w:rsid w:val="00C037DB"/>
    <w:rsid w:val="00C676B2"/>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C32FF"/>
    <w:rsid w:val="00DD3B60"/>
    <w:rsid w:val="00DE7AF4"/>
    <w:rsid w:val="00E036A9"/>
    <w:rsid w:val="00E22334"/>
    <w:rsid w:val="00E23B7A"/>
    <w:rsid w:val="00E501CD"/>
    <w:rsid w:val="00E541C2"/>
    <w:rsid w:val="00E572E1"/>
    <w:rsid w:val="00EA5663"/>
    <w:rsid w:val="00EA79C0"/>
    <w:rsid w:val="00EC11B3"/>
    <w:rsid w:val="00F068ED"/>
    <w:rsid w:val="00F122A5"/>
    <w:rsid w:val="00F30D44"/>
    <w:rsid w:val="00F33F91"/>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84B4-9ECF-4483-9F81-12B05F7F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2015-10-07T11:28:00Z</dcterms:created>
  <dcterms:modified xsi:type="dcterms:W3CDTF">2015-10-16T09:09:00Z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