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A613B4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A02E01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573A1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F2239">
        <w:rPr>
          <w:rFonts w:ascii="Verdana" w:hAnsi="Verdana"/>
          <w:b/>
        </w:rPr>
        <w:t>Esterbild</w:t>
      </w:r>
      <w:r w:rsidR="00A613B4">
        <w:rPr>
          <w:rFonts w:ascii="Verdana" w:hAnsi="Verdana"/>
          <w:b/>
        </w:rPr>
        <w:t xml:space="preserve">ung 1 (Buttersäure-ethylester, </w:t>
      </w:r>
      <w:r w:rsidR="008F2239">
        <w:rPr>
          <w:rFonts w:ascii="Verdana" w:hAnsi="Verdana"/>
          <w:b/>
        </w:rPr>
        <w:t>4.2.a</w:t>
      </w:r>
      <w:r w:rsidR="00A613B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76F4B">
        <w:rPr>
          <w:rFonts w:ascii="Verdana" w:hAnsi="Verdana"/>
          <w:b/>
        </w:rPr>
        <w:t>1</w:t>
      </w:r>
      <w:r w:rsidR="008F2239">
        <w:rPr>
          <w:rFonts w:ascii="Verdana" w:hAnsi="Verdana"/>
          <w:b/>
        </w:rPr>
        <w:t>80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573A16">
      <w:pPr>
        <w:rPr>
          <w:rFonts w:ascii="Arial" w:hAnsi="Arial"/>
          <w:sz w:val="24"/>
        </w:rPr>
      </w:pPr>
      <w:r w:rsidRPr="00573A16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38374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573A16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573A16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8F223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500FC5" w:rsidRDefault="00D65C9C">
      <w:pPr>
        <w:rPr>
          <w:rFonts w:ascii="Arial" w:hAnsi="Arial"/>
          <w:b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500FC5">
        <w:rPr>
          <w:rFonts w:ascii="Verdana" w:hAnsi="Verdana"/>
        </w:rPr>
        <w:t xml:space="preserve">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701"/>
        <w:gridCol w:w="850"/>
        <w:gridCol w:w="1843"/>
        <w:gridCol w:w="1218"/>
      </w:tblGrid>
      <w:tr w:rsidR="00A1039B" w:rsidTr="00C63CB2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64624B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8F2239" w:rsidRPr="007675D1" w:rsidTr="008F2239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8F2239" w:rsidRPr="00A02E01" w:rsidRDefault="008F2239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</w:rPr>
              <w:t xml:space="preserve">Ethanol </w:t>
            </w:r>
            <w:r w:rsidRPr="00A02E01">
              <w:rPr>
                <w:rFonts w:ascii="Verdana" w:hAnsi="Verdana"/>
                <w:b w:val="0"/>
                <w:sz w:val="18"/>
                <w:szCs w:val="18"/>
              </w:rPr>
              <w:t>(96%)</w:t>
            </w:r>
          </w:p>
          <w:p w:rsidR="008F2239" w:rsidRPr="00623F94" w:rsidRDefault="008F2239" w:rsidP="001D06F4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8F2239" w:rsidRPr="00623F94" w:rsidRDefault="008F2239" w:rsidP="001D06F4">
            <w:pPr>
              <w:cnfStyle w:val="000000100000"/>
              <w:rPr>
                <w:rFonts w:ascii="Verdana" w:hAnsi="Verdana"/>
                <w:color w:val="FF0000"/>
              </w:rPr>
            </w:pPr>
            <w:r w:rsidRPr="00623F9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margin">
                    <wp:posOffset>256540</wp:posOffset>
                  </wp:positionH>
                  <wp:positionV relativeFrom="margin">
                    <wp:posOffset>95885</wp:posOffset>
                  </wp:positionV>
                  <wp:extent cx="321310" cy="323850"/>
                  <wp:effectExtent l="19050" t="0" r="2540" b="0"/>
                  <wp:wrapNone/>
                  <wp:docPr id="5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850" w:type="dxa"/>
          </w:tcPr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8F2239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  <w:r w:rsidR="0064624B">
              <w:rPr>
                <w:rFonts w:ascii="Verdana" w:hAnsi="Verdana"/>
                <w:sz w:val="16"/>
                <w:szCs w:val="16"/>
              </w:rPr>
              <w:t xml:space="preserve"> P233</w:t>
            </w:r>
          </w:p>
          <w:p w:rsidR="0064624B" w:rsidRDefault="0064624B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P403+233</w:t>
            </w:r>
          </w:p>
          <w:p w:rsidR="0064624B" w:rsidRDefault="0064624B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P403+235</w:t>
            </w:r>
          </w:p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</w:tr>
      <w:tr w:rsidR="008F2239" w:rsidRPr="0087017A" w:rsidTr="008F2239">
        <w:trPr>
          <w:trHeight w:val="794"/>
        </w:trPr>
        <w:tc>
          <w:tcPr>
            <w:cnfStyle w:val="001000000000"/>
            <w:tcW w:w="2093" w:type="dxa"/>
          </w:tcPr>
          <w:p w:rsidR="008F2239" w:rsidRPr="009814DD" w:rsidRDefault="008F2239" w:rsidP="001D06F4">
            <w:pPr>
              <w:rPr>
                <w:rFonts w:ascii="Verdana" w:hAnsi="Verdana"/>
                <w:b w:val="0"/>
              </w:rPr>
            </w:pPr>
            <w:r w:rsidRPr="009814DD">
              <w:rPr>
                <w:rFonts w:ascii="Verdana" w:hAnsi="Verdana"/>
                <w:b w:val="0"/>
              </w:rPr>
              <w:t xml:space="preserve">Schwefelsäure </w:t>
            </w:r>
            <w:r w:rsidR="00F02605">
              <w:rPr>
                <w:rFonts w:ascii="Verdana" w:hAnsi="Verdana"/>
                <w:b w:val="0"/>
              </w:rPr>
              <w:t>(</w:t>
            </w:r>
            <w:r w:rsidRPr="00A02E01">
              <w:rPr>
                <w:rFonts w:ascii="Verdana" w:hAnsi="Verdana"/>
                <w:b w:val="0"/>
                <w:sz w:val="18"/>
                <w:szCs w:val="18"/>
              </w:rPr>
              <w:t>96%</w:t>
            </w:r>
            <w:r w:rsidR="00F02605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F2239" w:rsidRPr="009814DD" w:rsidRDefault="008F2239" w:rsidP="001D06F4">
            <w:pPr>
              <w:cnfStyle w:val="000000000000"/>
              <w:rPr>
                <w:rFonts w:ascii="Verdana" w:hAnsi="Verdana"/>
                <w:color w:val="FF0000"/>
              </w:rPr>
            </w:pPr>
            <w:r w:rsidRPr="009814D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8F2239" w:rsidRPr="0087017A" w:rsidRDefault="008F2239" w:rsidP="001D06F4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margin">
                    <wp:posOffset>260350</wp:posOffset>
                  </wp:positionH>
                  <wp:positionV relativeFrom="margin">
                    <wp:posOffset>103505</wp:posOffset>
                  </wp:positionV>
                  <wp:extent cx="317500" cy="320675"/>
                  <wp:effectExtent l="19050" t="0" r="6350" b="0"/>
                  <wp:wrapNone/>
                  <wp:docPr id="6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F2239" w:rsidRPr="0087017A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850" w:type="dxa"/>
          </w:tcPr>
          <w:p w:rsidR="008F2239" w:rsidRPr="0087017A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8F2239" w:rsidRPr="0087017A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218" w:type="dxa"/>
          </w:tcPr>
          <w:p w:rsidR="008F2239" w:rsidRPr="0087017A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8F2239" w:rsidRPr="0038374C" w:rsidTr="001D06F4">
        <w:trPr>
          <w:cnfStyle w:val="000000100000"/>
          <w:trHeight w:val="690"/>
        </w:trPr>
        <w:tc>
          <w:tcPr>
            <w:cnfStyle w:val="001000000000"/>
            <w:tcW w:w="2093" w:type="dxa"/>
          </w:tcPr>
          <w:p w:rsidR="008F2239" w:rsidRPr="008F2239" w:rsidRDefault="008F2239" w:rsidP="001D06F4">
            <w:pPr>
              <w:rPr>
                <w:rFonts w:ascii="Verdana" w:hAnsi="Verdana"/>
                <w:b w:val="0"/>
                <w:bCs w:val="0"/>
              </w:rPr>
            </w:pPr>
            <w:r w:rsidRPr="0038374C">
              <w:rPr>
                <w:rFonts w:ascii="Verdana" w:hAnsi="Verdana"/>
                <w:b w:val="0"/>
                <w:bCs w:val="0"/>
              </w:rPr>
              <w:t>Buttersäure</w:t>
            </w:r>
          </w:p>
        </w:tc>
        <w:tc>
          <w:tcPr>
            <w:tcW w:w="1276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  <w:color w:val="FF0000"/>
              </w:rPr>
            </w:pPr>
            <w:r w:rsidRPr="0038374C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</w:rPr>
            </w:pPr>
            <w:r w:rsidRPr="0038374C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margin">
                    <wp:posOffset>267335</wp:posOffset>
                  </wp:positionH>
                  <wp:positionV relativeFrom="margin">
                    <wp:posOffset>97155</wp:posOffset>
                  </wp:positionV>
                  <wp:extent cx="317500" cy="323850"/>
                  <wp:effectExtent l="19050" t="0" r="6350" b="0"/>
                  <wp:wrapNone/>
                  <wp:docPr id="6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H3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P280</w:t>
            </w:r>
          </w:p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</w:t>
            </w:r>
            <w:r w:rsidRPr="0038374C">
              <w:rPr>
                <w:rFonts w:ascii="Verdana" w:hAnsi="Verdana"/>
                <w:sz w:val="16"/>
                <w:szCs w:val="16"/>
              </w:rPr>
              <w:t>+31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18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F2239" w:rsidRPr="008F2239" w:rsidTr="001D06F4">
        <w:trPr>
          <w:trHeight w:val="690"/>
        </w:trPr>
        <w:tc>
          <w:tcPr>
            <w:cnfStyle w:val="001000000000"/>
            <w:tcW w:w="2093" w:type="dxa"/>
          </w:tcPr>
          <w:p w:rsidR="008F2239" w:rsidRPr="008F2239" w:rsidRDefault="008F2239" w:rsidP="001D06F4">
            <w:pPr>
              <w:rPr>
                <w:rFonts w:ascii="Verdana" w:hAnsi="Verdana"/>
                <w:b w:val="0"/>
              </w:rPr>
            </w:pPr>
            <w:r w:rsidRPr="008F2239">
              <w:rPr>
                <w:rFonts w:ascii="Verdana" w:hAnsi="Verdana"/>
                <w:b w:val="0"/>
              </w:rPr>
              <w:t>Buttersäure</w:t>
            </w:r>
            <w:r>
              <w:rPr>
                <w:rFonts w:ascii="Verdana" w:hAnsi="Verdana"/>
                <w:b w:val="0"/>
              </w:rPr>
              <w:t>-Ethyl-</w:t>
            </w:r>
            <w:r w:rsidRPr="00F02605">
              <w:rPr>
                <w:rFonts w:ascii="Verdana" w:hAnsi="Verdana"/>
                <w:b w:val="0"/>
              </w:rPr>
              <w:t>Ester</w:t>
            </w:r>
            <w:r w:rsidRPr="00F02605">
              <w:rPr>
                <w:rFonts w:ascii="Verdana" w:hAnsi="Verdana"/>
                <w:b w:val="0"/>
                <w:sz w:val="18"/>
                <w:szCs w:val="18"/>
              </w:rPr>
              <w:t xml:space="preserve"> (Ethylbutyrat, Reaktionsprodukt)</w:t>
            </w:r>
          </w:p>
        </w:tc>
        <w:tc>
          <w:tcPr>
            <w:tcW w:w="1276" w:type="dxa"/>
          </w:tcPr>
          <w:p w:rsidR="008F2239" w:rsidRPr="008F2239" w:rsidRDefault="008F2239" w:rsidP="001D06F4">
            <w:pPr>
              <w:cnfStyle w:val="000000000000"/>
              <w:rPr>
                <w:rFonts w:ascii="Verdana" w:hAnsi="Verdana"/>
                <w:color w:val="FF0000"/>
              </w:rPr>
            </w:pPr>
            <w:r w:rsidRPr="00623F9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8F2239" w:rsidRPr="008F2239" w:rsidRDefault="008F2239" w:rsidP="001D06F4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margin">
                    <wp:posOffset>267335</wp:posOffset>
                  </wp:positionH>
                  <wp:positionV relativeFrom="margin">
                    <wp:posOffset>70485</wp:posOffset>
                  </wp:positionV>
                  <wp:extent cx="321310" cy="323850"/>
                  <wp:effectExtent l="19050" t="0" r="2540" b="0"/>
                  <wp:wrapNone/>
                  <wp:docPr id="6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F2239" w:rsidRP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</w:t>
            </w:r>
          </w:p>
        </w:tc>
        <w:tc>
          <w:tcPr>
            <w:tcW w:w="850" w:type="dxa"/>
          </w:tcPr>
          <w:p w:rsidR="008F2239" w:rsidRP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8F2239" w:rsidRP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P262</w:t>
            </w:r>
          </w:p>
        </w:tc>
        <w:tc>
          <w:tcPr>
            <w:tcW w:w="1218" w:type="dxa"/>
          </w:tcPr>
          <w:p w:rsidR="008F2239" w:rsidRP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C63CB2" w:rsidRPr="00C63CB2">
        <w:rPr>
          <w:rFonts w:ascii="Verdana" w:hAnsi="Verdana"/>
          <w:noProof/>
          <w:sz w:val="16"/>
          <w:szCs w:val="16"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C63CB2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B12F75" w:rsidRDefault="00B12F75">
      <w:pPr>
        <w:rPr>
          <w:rFonts w:ascii="Verdana" w:hAnsi="Verdana"/>
          <w:b/>
        </w:rPr>
      </w:pPr>
    </w:p>
    <w:p w:rsidR="00140752" w:rsidRDefault="0014075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B12F75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</w:rPr>
      </w:pPr>
    </w:p>
    <w:p w:rsidR="008F2239" w:rsidRPr="0084768E" w:rsidRDefault="008F2239" w:rsidP="008F2239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84768E">
        <w:rPr>
          <w:rFonts w:ascii="Verdana" w:hAnsi="Verdana" w:cs="Shruti"/>
          <w:i/>
          <w:lang w:val="de-CH"/>
        </w:rPr>
        <w:t>In einem 100 ml Rundkolben werden 10 ml Ethano</w:t>
      </w:r>
      <w:r>
        <w:rPr>
          <w:rFonts w:ascii="Verdana" w:hAnsi="Verdana" w:cs="Shruti"/>
          <w:i/>
          <w:lang w:val="de-CH"/>
        </w:rPr>
        <w:t>l mit 10 ml Buttersäure</w:t>
      </w:r>
      <w:r w:rsidRPr="0084768E">
        <w:rPr>
          <w:rFonts w:ascii="Verdana" w:hAnsi="Verdana" w:cs="Shruti"/>
          <w:i/>
          <w:lang w:val="de-CH"/>
        </w:rPr>
        <w:t xml:space="preserve"> vermischt. Sehr langsam werden dazu 10 ml konzentrierte Schwefelsäure gegeben. Der Ansatz wird mit einem Stopfen verschlossen einige Minuten durchmischt. Anschliessend wird ein Liebig-Kühler aufgesetzt und mit einer kleinen Flamme vorsichtig destilliert. Das erhaltene Destillat wird in einem Reagenzglas mit Wasser versetzt, einer Geruchsprobe unterzogen und in einem Uhrglas entzündet.</w:t>
      </w:r>
    </w:p>
    <w:p w:rsidR="0009424D" w:rsidRPr="0017636A" w:rsidRDefault="0009424D">
      <w:pPr>
        <w:rPr>
          <w:rFonts w:ascii="Verdana" w:hAnsi="Verdana"/>
          <w:b/>
          <w:lang w:val="de-CH"/>
        </w:rPr>
      </w:pPr>
    </w:p>
    <w:p w:rsidR="0009424D" w:rsidRDefault="0009424D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A410AC" w:rsidRDefault="00A410AC" w:rsidP="004B2CBE">
      <w:pPr>
        <w:rPr>
          <w:rFonts w:ascii="Verdana" w:hAnsi="Verdana" w:cs="Shruti"/>
          <w:i/>
        </w:rPr>
      </w:pPr>
    </w:p>
    <w:p w:rsidR="008F2239" w:rsidRPr="00ED2D32" w:rsidRDefault="008F2239" w:rsidP="004B2CBE">
      <w:pPr>
        <w:rPr>
          <w:rFonts w:ascii="Verdana" w:hAnsi="Verdana"/>
          <w:i/>
        </w:rPr>
      </w:pPr>
      <w:r>
        <w:rPr>
          <w:rFonts w:ascii="Verdana" w:hAnsi="Verdana" w:cs="Shruti"/>
          <w:i/>
        </w:rPr>
        <w:t>Abmessen der Buttersäure im Abzug</w:t>
      </w:r>
    </w:p>
    <w:p w:rsidR="0009424D" w:rsidRDefault="0009424D" w:rsidP="008C7699">
      <w:pPr>
        <w:rPr>
          <w:rFonts w:ascii="Verdana" w:hAnsi="Verdana"/>
          <w:b/>
        </w:rPr>
      </w:pPr>
    </w:p>
    <w:p w:rsidR="00ED2D32" w:rsidRDefault="00ED2D32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4B2CBE" w:rsidRDefault="008F2239">
      <w:pPr>
        <w:rPr>
          <w:rFonts w:ascii="Verdana" w:hAnsi="Verdana"/>
          <w:b/>
        </w:rPr>
      </w:pPr>
      <w:r>
        <w:rPr>
          <w:rFonts w:ascii="Verdana" w:hAnsi="Verdana" w:cs="Shruti"/>
          <w:i/>
        </w:rPr>
        <w:t>Reste im Scheidetrichter trennen; Esterschicht in den Sammelbehälter "Organische Abfälle, nicht wassermischbar, halogenfrei", wässrige Phase neutralisieren und über das Abwasser entsorgen.</w:t>
      </w:r>
    </w:p>
    <w:p w:rsidR="00B12F75" w:rsidRDefault="00B12F75">
      <w:pPr>
        <w:rPr>
          <w:rFonts w:ascii="Verdana" w:hAnsi="Verdana"/>
          <w:b/>
        </w:rPr>
      </w:pPr>
    </w:p>
    <w:p w:rsidR="008F2239" w:rsidRDefault="008F223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B12F7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F223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D2D3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76F4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ED2D32" w:rsidRDefault="0064624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ED2D32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12F7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500FC5" w:rsidRDefault="008F223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3168650</wp:posOffset>
            </wp:positionH>
            <wp:positionV relativeFrom="margin">
              <wp:posOffset>3781425</wp:posOffset>
            </wp:positionV>
            <wp:extent cx="400050" cy="400050"/>
            <wp:effectExtent l="19050" t="0" r="0" b="0"/>
            <wp:wrapNone/>
            <wp:docPr id="5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927100</wp:posOffset>
            </wp:positionH>
            <wp:positionV relativeFrom="margin">
              <wp:posOffset>3736975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D32" w:rsidRDefault="00276F4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  <w:r w:rsidR="00030614">
        <w:rPr>
          <w:rFonts w:ascii="Verdana" w:hAnsi="Verdana"/>
          <w:i/>
        </w:rPr>
        <w:t>Schutzbrille</w:t>
      </w:r>
      <w:r w:rsidR="00ED2D32">
        <w:rPr>
          <w:rFonts w:ascii="Verdana" w:hAnsi="Verdana"/>
          <w:i/>
        </w:rPr>
        <w:t xml:space="preserve">  </w:t>
      </w:r>
      <w:r w:rsidR="00B12F75">
        <w:rPr>
          <w:rFonts w:ascii="Verdana" w:hAnsi="Verdana"/>
          <w:i/>
        </w:rPr>
        <w:t xml:space="preserve">                      Schutzhandschuhe </w:t>
      </w:r>
      <w:r w:rsidR="00ED2D32">
        <w:rPr>
          <w:rFonts w:ascii="Verdana" w:hAnsi="Verdana"/>
          <w:i/>
        </w:rPr>
        <w:t xml:space="preserve">           </w:t>
      </w:r>
    </w:p>
    <w:p w:rsidR="008F2239" w:rsidRDefault="008F2239">
      <w:pPr>
        <w:rPr>
          <w:rFonts w:ascii="Verdana" w:hAnsi="Verdana"/>
          <w:i/>
        </w:rPr>
      </w:pPr>
    </w:p>
    <w:p w:rsidR="00ED2D32" w:rsidRDefault="00ED2D32">
      <w:pPr>
        <w:rPr>
          <w:rFonts w:ascii="Verdana" w:hAnsi="Verdana"/>
          <w:i/>
        </w:rPr>
      </w:pPr>
    </w:p>
    <w:p w:rsidR="00A613B4" w:rsidRDefault="00A613B4">
      <w:pPr>
        <w:rPr>
          <w:rFonts w:ascii="Verdana" w:hAnsi="Verdana"/>
          <w:i/>
        </w:rPr>
      </w:pPr>
    </w:p>
    <w:p w:rsidR="00A613B4" w:rsidRDefault="00A613B4">
      <w:pPr>
        <w:rPr>
          <w:rFonts w:ascii="Verdana" w:hAnsi="Verdana"/>
          <w:i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B12F75" w:rsidRDefault="00B12F75" w:rsidP="00B12F7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 </w:t>
      </w:r>
      <w:r w:rsidR="008F2239">
        <w:rPr>
          <w:rFonts w:ascii="Verdana" w:hAnsi="Verdana"/>
          <w:i/>
        </w:rPr>
        <w:t>Keine Substitution notwendig, risikoarmer Standa</w:t>
      </w:r>
      <w:r w:rsidR="00A02E01">
        <w:rPr>
          <w:rFonts w:ascii="Verdana" w:hAnsi="Verdana"/>
          <w:i/>
        </w:rPr>
        <w:t>r</w:t>
      </w:r>
      <w:r w:rsidR="008F2239">
        <w:rPr>
          <w:rFonts w:ascii="Verdana" w:hAnsi="Verdana"/>
          <w:i/>
        </w:rPr>
        <w:t>dversuch</w:t>
      </w:r>
    </w:p>
    <w:p w:rsidR="00095758" w:rsidRDefault="00095758" w:rsidP="00030614">
      <w:pPr>
        <w:rPr>
          <w:rFonts w:ascii="Verdana" w:hAnsi="Verdana"/>
          <w:i/>
        </w:rPr>
      </w:pPr>
    </w:p>
    <w:p w:rsidR="00095758" w:rsidRPr="00A33993" w:rsidRDefault="00095758" w:rsidP="00030614">
      <w:pPr>
        <w:rPr>
          <w:rFonts w:ascii="Arial" w:hAnsi="Arial"/>
        </w:rPr>
      </w:pPr>
    </w:p>
    <w:p w:rsidR="00A613B4" w:rsidRDefault="00A613B4">
      <w:pPr>
        <w:rPr>
          <w:rFonts w:ascii="Verdana" w:hAnsi="Verdana"/>
          <w:sz w:val="16"/>
          <w:szCs w:val="16"/>
        </w:rPr>
      </w:pPr>
    </w:p>
    <w:p w:rsidR="00A613B4" w:rsidRDefault="00A613B4">
      <w:pPr>
        <w:rPr>
          <w:rFonts w:ascii="Verdana" w:hAnsi="Verdana"/>
          <w:sz w:val="16"/>
          <w:szCs w:val="16"/>
        </w:rPr>
      </w:pPr>
    </w:p>
    <w:p w:rsidR="00A613B4" w:rsidRPr="00A613B4" w:rsidRDefault="00A613B4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A613B4" w:rsidRDefault="00A613B4">
      <w:pPr>
        <w:rPr>
          <w:rFonts w:ascii="Verdana" w:hAnsi="Verdana"/>
          <w:sz w:val="16"/>
          <w:szCs w:val="16"/>
        </w:rPr>
      </w:pPr>
    </w:p>
    <w:p w:rsidR="00A33993" w:rsidRPr="00A613B4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H225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A613B4"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A613B4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H226</w:t>
      </w:r>
      <w:r w:rsidRPr="00A613B4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A613B4" w:rsidRPr="00A613B4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H290</w:t>
      </w:r>
      <w:r w:rsidRPr="00A613B4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A613B4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38374C">
        <w:rPr>
          <w:rFonts w:ascii="Verdana" w:hAnsi="Verdana"/>
          <w:sz w:val="16"/>
          <w:szCs w:val="16"/>
        </w:rPr>
        <w:t>H3</w:t>
      </w:r>
      <w:r>
        <w:rPr>
          <w:rFonts w:ascii="Verdana" w:hAnsi="Verdana"/>
          <w:sz w:val="16"/>
          <w:szCs w:val="16"/>
        </w:rPr>
        <w:t>14</w:t>
      </w:r>
      <w:r w:rsidRPr="00A613B4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095758" w:rsidRDefault="00095758" w:rsidP="00A613B4">
      <w:pPr>
        <w:pBdr>
          <w:between w:val="single" w:sz="4" w:space="1" w:color="auto"/>
          <w:bar w:val="single" w:sz="4" w:color="auto"/>
        </w:pBdr>
        <w:rPr>
          <w:rFonts w:ascii="Verdana" w:hAnsi="Verdana"/>
        </w:rPr>
      </w:pPr>
    </w:p>
    <w:p w:rsidR="00A613B4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P210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</w:t>
      </w:r>
      <w:r w:rsidR="00307C8E">
        <w:rPr>
          <w:rFonts w:ascii="Verdana" w:hAnsi="Verdana"/>
          <w:sz w:val="16"/>
          <w:szCs w:val="16"/>
          <w:lang w:eastAsia="zh-CN"/>
        </w:rPr>
        <w:t>n</w:t>
      </w:r>
      <w:r w:rsidR="0064126D">
        <w:rPr>
          <w:rFonts w:ascii="Verdana" w:hAnsi="Verdana"/>
          <w:sz w:val="16"/>
          <w:szCs w:val="16"/>
          <w:lang w:eastAsia="zh-CN"/>
        </w:rPr>
        <w:t xml:space="preserve"> fernhalten. </w:t>
      </w:r>
    </w:p>
    <w:p w:rsidR="0064624B" w:rsidRPr="0064624B" w:rsidRDefault="0064624B" w:rsidP="00A613B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P233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A613B4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P262</w:t>
      </w:r>
      <w:r w:rsidRPr="00A613B4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Nicht in die Augen, auf die Haut oder auf die Kleidung gelangen lassen.</w:t>
      </w:r>
    </w:p>
    <w:p w:rsidR="00A613B4" w:rsidRPr="0038374C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8374C">
        <w:rPr>
          <w:rFonts w:ascii="Verdana" w:hAnsi="Verdana"/>
          <w:sz w:val="16"/>
          <w:szCs w:val="16"/>
        </w:rPr>
        <w:t>P280</w:t>
      </w:r>
      <w:r w:rsidRPr="00A613B4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307C8E"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A613B4" w:rsidRPr="0038374C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8374C">
        <w:rPr>
          <w:rFonts w:ascii="Verdana" w:hAnsi="Verdana"/>
          <w:sz w:val="16"/>
          <w:szCs w:val="16"/>
        </w:rPr>
        <w:t>P301+330+331</w:t>
      </w:r>
      <w:r w:rsidRPr="00A613B4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A613B4" w:rsidRPr="0038374C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8374C">
        <w:rPr>
          <w:rFonts w:ascii="Verdana" w:hAnsi="Verdana"/>
          <w:sz w:val="16"/>
          <w:szCs w:val="16"/>
        </w:rPr>
        <w:t>P305+351+338</w:t>
      </w:r>
      <w:r w:rsidRPr="00A613B4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A613B4" w:rsidRPr="00A613B4" w:rsidRDefault="00A613B4" w:rsidP="00A613B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P309</w:t>
      </w:r>
      <w:r w:rsidRPr="0038374C">
        <w:rPr>
          <w:rFonts w:ascii="Verdana" w:hAnsi="Verdana"/>
          <w:sz w:val="16"/>
          <w:szCs w:val="16"/>
        </w:rPr>
        <w:t>+31</w:t>
      </w:r>
      <w:r>
        <w:rPr>
          <w:rFonts w:ascii="Verdana" w:hAnsi="Verdana"/>
          <w:sz w:val="16"/>
          <w:szCs w:val="16"/>
        </w:rPr>
        <w:t>0</w:t>
      </w:r>
      <w:r w:rsidRPr="00A613B4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64624B" w:rsidRPr="001B504D" w:rsidRDefault="0064624B" w:rsidP="0064624B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P403+233</w:t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64624B" w:rsidRPr="00AD7825" w:rsidRDefault="0064624B" w:rsidP="0064624B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lang w:val="de-CH"/>
        </w:rPr>
      </w:pPr>
      <w:r>
        <w:rPr>
          <w:rFonts w:ascii="Verdana" w:hAnsi="Verdana"/>
          <w:sz w:val="16"/>
          <w:szCs w:val="16"/>
        </w:rPr>
        <w:t>P403+235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  <w:r>
        <w:rPr>
          <w:rFonts w:ascii="Verdana" w:hAnsi="Verdana"/>
          <w:sz w:val="16"/>
          <w:szCs w:val="16"/>
        </w:rPr>
        <w:tab/>
      </w:r>
    </w:p>
    <w:p w:rsidR="00A613B4" w:rsidRDefault="00A613B4">
      <w:pPr>
        <w:rPr>
          <w:rFonts w:ascii="Verdana" w:hAnsi="Verdana"/>
        </w:rPr>
      </w:pPr>
    </w:p>
    <w:p w:rsidR="00095758" w:rsidRDefault="00095758">
      <w:pPr>
        <w:rPr>
          <w:rFonts w:ascii="Verdana" w:hAnsi="Verdana"/>
        </w:rPr>
      </w:pPr>
    </w:p>
    <w:p w:rsidR="00A613B4" w:rsidRDefault="00A613B4">
      <w:pPr>
        <w:rPr>
          <w:rFonts w:ascii="Verdana" w:hAnsi="Verdana"/>
        </w:rPr>
      </w:pPr>
    </w:p>
    <w:p w:rsidR="00A613B4" w:rsidRDefault="00A613B4">
      <w:pPr>
        <w:rPr>
          <w:rFonts w:ascii="Verdana" w:hAnsi="Verdana"/>
        </w:rPr>
      </w:pPr>
    </w:p>
    <w:p w:rsidR="00A613B4" w:rsidRDefault="00A613B4">
      <w:pPr>
        <w:rPr>
          <w:rFonts w:ascii="Verdana" w:hAnsi="Verdana"/>
        </w:rPr>
      </w:pPr>
    </w:p>
    <w:p w:rsidR="00A613B4" w:rsidRPr="00094BA1" w:rsidRDefault="00A613B4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4B2CBE" w:rsidRDefault="004B2CBE">
      <w:pPr>
        <w:rPr>
          <w:rFonts w:ascii="Arial" w:hAnsi="Arial"/>
          <w:sz w:val="24"/>
        </w:rPr>
      </w:pPr>
    </w:p>
    <w:p w:rsidR="00A613B4" w:rsidRDefault="00A613B4">
      <w:pPr>
        <w:rPr>
          <w:rFonts w:ascii="Arial" w:hAnsi="Arial"/>
          <w:sz w:val="24"/>
        </w:rPr>
      </w:pPr>
    </w:p>
    <w:p w:rsidR="00A613B4" w:rsidRDefault="00A613B4">
      <w:pPr>
        <w:rPr>
          <w:rFonts w:ascii="Arial" w:hAnsi="Arial"/>
          <w:sz w:val="24"/>
        </w:rPr>
      </w:pPr>
    </w:p>
    <w:p w:rsidR="00A613B4" w:rsidRDefault="00A613B4">
      <w:pPr>
        <w:rPr>
          <w:rFonts w:ascii="Arial" w:hAnsi="Arial"/>
          <w:sz w:val="24"/>
        </w:rPr>
      </w:pPr>
    </w:p>
    <w:p w:rsidR="00A613B4" w:rsidRDefault="00A613B4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A613B4" w:rsidRDefault="00A613B4">
      <w:pPr>
        <w:rPr>
          <w:rFonts w:ascii="Verdana" w:hAnsi="Verdana"/>
        </w:rPr>
      </w:pPr>
    </w:p>
    <w:p w:rsidR="00A613B4" w:rsidRDefault="00A613B4">
      <w:pPr>
        <w:rPr>
          <w:rFonts w:ascii="Verdana" w:hAnsi="Verdana"/>
        </w:rPr>
      </w:pPr>
    </w:p>
    <w:p w:rsidR="00A613B4" w:rsidRDefault="00A613B4">
      <w:pPr>
        <w:rPr>
          <w:rFonts w:ascii="Verdana" w:hAnsi="Verdana"/>
        </w:rPr>
      </w:pPr>
    </w:p>
    <w:p w:rsidR="00A613B4" w:rsidRDefault="00A613B4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4B2CBE" w:rsidRDefault="004B2CB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A613B4" w:rsidRDefault="00A613B4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140752" w:rsidRDefault="00140752" w:rsidP="00030614">
      <w:pPr>
        <w:rPr>
          <w:rFonts w:ascii="Verdana" w:hAnsi="Verdana"/>
        </w:rPr>
      </w:pPr>
    </w:p>
    <w:p w:rsidR="0064126D" w:rsidRDefault="0064126D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382839" w:rsidRPr="00DC32FF" w:rsidRDefault="00382839" w:rsidP="00A613B4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A613B4">
        <w:rPr>
          <w:rFonts w:ascii="Verdana" w:hAnsi="Verdana"/>
          <w:sz w:val="16"/>
          <w:szCs w:val="16"/>
        </w:rPr>
        <w:t xml:space="preserve"> / Atelierschule Zürich / Erstelldatum: 16.05.2015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CB" w:rsidRDefault="00C963CB" w:rsidP="00015609">
      <w:r>
        <w:separator/>
      </w:r>
    </w:p>
  </w:endnote>
  <w:endnote w:type="continuationSeparator" w:id="0">
    <w:p w:rsidR="00C963CB" w:rsidRDefault="00C963CB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CB" w:rsidRDefault="00C963CB" w:rsidP="00015609">
      <w:r>
        <w:separator/>
      </w:r>
    </w:p>
  </w:footnote>
  <w:footnote w:type="continuationSeparator" w:id="0">
    <w:p w:rsidR="00C963CB" w:rsidRDefault="00C963CB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573A16" w:rsidP="00015609">
    <w:pPr>
      <w:pStyle w:val="Kopfzeile"/>
      <w:tabs>
        <w:tab w:val="clear" w:pos="4536"/>
        <w:tab w:val="clear" w:pos="9072"/>
        <w:tab w:val="left" w:pos="8445"/>
      </w:tabs>
    </w:pPr>
    <w:r w:rsidRPr="00573A16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73A16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573A16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0614"/>
    <w:rsid w:val="00032FD1"/>
    <w:rsid w:val="000356D8"/>
    <w:rsid w:val="00047246"/>
    <w:rsid w:val="00047294"/>
    <w:rsid w:val="00051F72"/>
    <w:rsid w:val="000529D3"/>
    <w:rsid w:val="0009424D"/>
    <w:rsid w:val="00094BA1"/>
    <w:rsid w:val="00095758"/>
    <w:rsid w:val="000D37C8"/>
    <w:rsid w:val="001005CA"/>
    <w:rsid w:val="00112DC4"/>
    <w:rsid w:val="00140752"/>
    <w:rsid w:val="00142B91"/>
    <w:rsid w:val="001653C7"/>
    <w:rsid w:val="00171B77"/>
    <w:rsid w:val="00173A89"/>
    <w:rsid w:val="00173ECE"/>
    <w:rsid w:val="0017636A"/>
    <w:rsid w:val="00192363"/>
    <w:rsid w:val="001A6020"/>
    <w:rsid w:val="001B39D5"/>
    <w:rsid w:val="001C32D5"/>
    <w:rsid w:val="001E1C19"/>
    <w:rsid w:val="001E2122"/>
    <w:rsid w:val="001E53A7"/>
    <w:rsid w:val="00221ED2"/>
    <w:rsid w:val="00243798"/>
    <w:rsid w:val="0024642C"/>
    <w:rsid w:val="00246C90"/>
    <w:rsid w:val="00260D73"/>
    <w:rsid w:val="00276F4B"/>
    <w:rsid w:val="002A1885"/>
    <w:rsid w:val="002E3A90"/>
    <w:rsid w:val="002E3B1E"/>
    <w:rsid w:val="00307C8E"/>
    <w:rsid w:val="003372CF"/>
    <w:rsid w:val="00363754"/>
    <w:rsid w:val="00366065"/>
    <w:rsid w:val="00382839"/>
    <w:rsid w:val="0038374C"/>
    <w:rsid w:val="00397845"/>
    <w:rsid w:val="003A3231"/>
    <w:rsid w:val="003A3BDB"/>
    <w:rsid w:val="003C6E9E"/>
    <w:rsid w:val="003D1449"/>
    <w:rsid w:val="0041105A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2CBE"/>
    <w:rsid w:val="004B4FF4"/>
    <w:rsid w:val="004C07E3"/>
    <w:rsid w:val="00500FC5"/>
    <w:rsid w:val="00523D26"/>
    <w:rsid w:val="0055320E"/>
    <w:rsid w:val="005643F9"/>
    <w:rsid w:val="00573A16"/>
    <w:rsid w:val="005A207F"/>
    <w:rsid w:val="005A4729"/>
    <w:rsid w:val="005B706D"/>
    <w:rsid w:val="005E2480"/>
    <w:rsid w:val="00600577"/>
    <w:rsid w:val="006133D7"/>
    <w:rsid w:val="00623F94"/>
    <w:rsid w:val="00624D80"/>
    <w:rsid w:val="006263D1"/>
    <w:rsid w:val="0064126D"/>
    <w:rsid w:val="0064624B"/>
    <w:rsid w:val="00655BBC"/>
    <w:rsid w:val="006E514C"/>
    <w:rsid w:val="006F371F"/>
    <w:rsid w:val="006F5584"/>
    <w:rsid w:val="0070507A"/>
    <w:rsid w:val="0071582C"/>
    <w:rsid w:val="007219DB"/>
    <w:rsid w:val="007249EC"/>
    <w:rsid w:val="007423E0"/>
    <w:rsid w:val="00751ABE"/>
    <w:rsid w:val="00765A51"/>
    <w:rsid w:val="00765C0E"/>
    <w:rsid w:val="0078017E"/>
    <w:rsid w:val="007859D3"/>
    <w:rsid w:val="00790E75"/>
    <w:rsid w:val="00793BB8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E3118"/>
    <w:rsid w:val="008F2239"/>
    <w:rsid w:val="008F4F72"/>
    <w:rsid w:val="00907BD8"/>
    <w:rsid w:val="009253B0"/>
    <w:rsid w:val="009550B8"/>
    <w:rsid w:val="00962356"/>
    <w:rsid w:val="00964841"/>
    <w:rsid w:val="0097293F"/>
    <w:rsid w:val="009814DD"/>
    <w:rsid w:val="00993BD6"/>
    <w:rsid w:val="009B4CC7"/>
    <w:rsid w:val="009C7CC5"/>
    <w:rsid w:val="009D170A"/>
    <w:rsid w:val="009D57AA"/>
    <w:rsid w:val="009D5943"/>
    <w:rsid w:val="009D6827"/>
    <w:rsid w:val="009F52EC"/>
    <w:rsid w:val="00A02E01"/>
    <w:rsid w:val="00A0420A"/>
    <w:rsid w:val="00A1039B"/>
    <w:rsid w:val="00A1642E"/>
    <w:rsid w:val="00A33993"/>
    <w:rsid w:val="00A410AC"/>
    <w:rsid w:val="00A451E5"/>
    <w:rsid w:val="00A505D4"/>
    <w:rsid w:val="00A6055C"/>
    <w:rsid w:val="00A613B4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2F75"/>
    <w:rsid w:val="00B61890"/>
    <w:rsid w:val="00B65545"/>
    <w:rsid w:val="00B83007"/>
    <w:rsid w:val="00BE2270"/>
    <w:rsid w:val="00C037DB"/>
    <w:rsid w:val="00C63CB2"/>
    <w:rsid w:val="00C676B2"/>
    <w:rsid w:val="00C93395"/>
    <w:rsid w:val="00C963CB"/>
    <w:rsid w:val="00CB37B4"/>
    <w:rsid w:val="00CC5350"/>
    <w:rsid w:val="00CD5034"/>
    <w:rsid w:val="00CF4E87"/>
    <w:rsid w:val="00D02677"/>
    <w:rsid w:val="00D20C5C"/>
    <w:rsid w:val="00D235EF"/>
    <w:rsid w:val="00D26B29"/>
    <w:rsid w:val="00D27A61"/>
    <w:rsid w:val="00D566D8"/>
    <w:rsid w:val="00D65C9C"/>
    <w:rsid w:val="00D9216B"/>
    <w:rsid w:val="00DA0844"/>
    <w:rsid w:val="00DC1457"/>
    <w:rsid w:val="00DC32FF"/>
    <w:rsid w:val="00DC68CE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D2D32"/>
    <w:rsid w:val="00F02605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EDB9-3DC9-492F-802B-CBC98EB7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12</cp:revision>
  <cp:lastPrinted>2013-12-03T11:51:00Z</cp:lastPrinted>
  <dcterms:created xsi:type="dcterms:W3CDTF">2015-05-02T10:26:00Z</dcterms:created>
  <dcterms:modified xsi:type="dcterms:W3CDTF">2015-05-22T16:53:00Z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