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9A746C"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2C3FB8">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4F77BF">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276F4B">
        <w:rPr>
          <w:rFonts w:ascii="Verdana" w:hAnsi="Verdana"/>
          <w:b/>
        </w:rPr>
        <w:t>Eigenschaften von Ethanol</w:t>
      </w:r>
      <w:r w:rsidR="00030614">
        <w:rPr>
          <w:rFonts w:ascii="Verdana" w:hAnsi="Verdana"/>
          <w:b/>
        </w:rPr>
        <w:t xml:space="preserve"> </w:t>
      </w:r>
      <w:r w:rsidR="009A746C">
        <w:rPr>
          <w:rFonts w:ascii="Verdana" w:hAnsi="Verdana"/>
          <w:b/>
        </w:rPr>
        <w:t>(</w:t>
      </w:r>
      <w:r w:rsidR="00030614">
        <w:rPr>
          <w:rFonts w:ascii="Verdana" w:hAnsi="Verdana"/>
          <w:b/>
        </w:rPr>
        <w:t>3.</w:t>
      </w:r>
      <w:r w:rsidR="00276F4B">
        <w:rPr>
          <w:rFonts w:ascii="Verdana" w:hAnsi="Verdana"/>
          <w:b/>
        </w:rPr>
        <w:t>4</w:t>
      </w:r>
      <w:r w:rsidR="009A746C">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76F4B">
        <w:rPr>
          <w:rFonts w:ascii="Verdana" w:hAnsi="Verdana"/>
          <w:b/>
        </w:rPr>
        <w:t>160</w:t>
      </w:r>
    </w:p>
    <w:p w:rsidR="00397845" w:rsidRDefault="00397845">
      <w:pPr>
        <w:rPr>
          <w:rFonts w:ascii="Arial" w:hAnsi="Arial"/>
          <w:sz w:val="24"/>
        </w:rPr>
      </w:pPr>
    </w:p>
    <w:p w:rsidR="00624D80" w:rsidRDefault="004F77BF">
      <w:pPr>
        <w:rPr>
          <w:rFonts w:ascii="Arial" w:hAnsi="Arial"/>
          <w:sz w:val="24"/>
        </w:rPr>
      </w:pPr>
      <w:r w:rsidRPr="004F77BF">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4A0699" w:rsidP="0078017E">
                  <w:pPr>
                    <w:rPr>
                      <w:rFonts w:ascii="Arial" w:hAnsi="Arial"/>
                      <w:sz w:val="24"/>
                      <w:szCs w:val="24"/>
                      <w:lang w:val="de-CH"/>
                    </w:rPr>
                  </w:pPr>
                </w:p>
              </w:txbxContent>
            </v:textbox>
          </v:shape>
        </w:pict>
      </w:r>
      <w:r w:rsidRPr="004F77BF">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4F77BF">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030614"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417"/>
        <w:gridCol w:w="1134"/>
        <w:gridCol w:w="1843"/>
        <w:gridCol w:w="1218"/>
      </w:tblGrid>
      <w:tr w:rsidR="00A1039B" w:rsidTr="00171B77">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64705B">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623F94" w:rsidRPr="007675D1" w:rsidTr="00623F94">
        <w:trPr>
          <w:cnfStyle w:val="000000100000"/>
          <w:trHeight w:val="794"/>
        </w:trPr>
        <w:tc>
          <w:tcPr>
            <w:cnfStyle w:val="001000000000"/>
            <w:tcW w:w="2235" w:type="dxa"/>
          </w:tcPr>
          <w:p w:rsidR="00623F94" w:rsidRDefault="004C07E3" w:rsidP="004C07E3">
            <w:pPr>
              <w:rPr>
                <w:rFonts w:ascii="Verdana" w:hAnsi="Verdana"/>
                <w:b w:val="0"/>
              </w:rPr>
            </w:pPr>
            <w:r>
              <w:rPr>
                <w:rFonts w:ascii="Verdana" w:hAnsi="Verdana"/>
                <w:b w:val="0"/>
              </w:rPr>
              <w:t>Ethanol</w:t>
            </w:r>
            <w:r w:rsidR="0055320E">
              <w:rPr>
                <w:rFonts w:ascii="Verdana" w:hAnsi="Verdana"/>
                <w:b w:val="0"/>
              </w:rPr>
              <w:t xml:space="preserve"> </w:t>
            </w:r>
            <w:r w:rsidR="0055320E" w:rsidRPr="004B2323">
              <w:rPr>
                <w:rFonts w:ascii="Verdana" w:hAnsi="Verdana"/>
                <w:b w:val="0"/>
                <w:sz w:val="18"/>
                <w:szCs w:val="18"/>
              </w:rPr>
              <w:t>(</w:t>
            </w:r>
            <w:r w:rsidR="00047246" w:rsidRPr="004B2323">
              <w:rPr>
                <w:rFonts w:ascii="Verdana" w:hAnsi="Verdana"/>
                <w:b w:val="0"/>
                <w:sz w:val="18"/>
                <w:szCs w:val="18"/>
              </w:rPr>
              <w:t>96</w:t>
            </w:r>
            <w:r w:rsidR="0055320E" w:rsidRPr="004B2323">
              <w:rPr>
                <w:rFonts w:ascii="Verdana" w:hAnsi="Verdana"/>
                <w:b w:val="0"/>
                <w:sz w:val="18"/>
                <w:szCs w:val="18"/>
              </w:rPr>
              <w:t>%)</w:t>
            </w:r>
          </w:p>
          <w:p w:rsidR="004C07E3" w:rsidRPr="00623F94" w:rsidRDefault="004C07E3" w:rsidP="00047246">
            <w:pPr>
              <w:rPr>
                <w:rFonts w:ascii="Verdana" w:hAnsi="Verdana"/>
                <w:b w:val="0"/>
              </w:rPr>
            </w:pPr>
          </w:p>
        </w:tc>
        <w:tc>
          <w:tcPr>
            <w:tcW w:w="1275" w:type="dxa"/>
          </w:tcPr>
          <w:p w:rsidR="00623F94" w:rsidRPr="00623F94" w:rsidRDefault="00623F94" w:rsidP="00004282">
            <w:pPr>
              <w:cnfStyle w:val="000000100000"/>
              <w:rPr>
                <w:rFonts w:ascii="Verdana" w:hAnsi="Verdana"/>
                <w:color w:val="FF0000"/>
              </w:rPr>
            </w:pPr>
            <w:r w:rsidRPr="00623F94">
              <w:rPr>
                <w:rFonts w:ascii="Verdana" w:hAnsi="Verdana"/>
                <w:color w:val="7030A0"/>
              </w:rPr>
              <w:t>Achtung</w:t>
            </w:r>
          </w:p>
        </w:tc>
        <w:tc>
          <w:tcPr>
            <w:tcW w:w="1560" w:type="dxa"/>
          </w:tcPr>
          <w:p w:rsidR="00623F94" w:rsidRPr="007675D1" w:rsidRDefault="0055320E" w:rsidP="00004282">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80768" behindDoc="0" locked="0" layoutInCell="1" allowOverlap="1">
                  <wp:simplePos x="0" y="0"/>
                  <wp:positionH relativeFrom="margin">
                    <wp:posOffset>256540</wp:posOffset>
                  </wp:positionH>
                  <wp:positionV relativeFrom="margin">
                    <wp:posOffset>95885</wp:posOffset>
                  </wp:positionV>
                  <wp:extent cx="321310" cy="323850"/>
                  <wp:effectExtent l="19050" t="0" r="2540" b="0"/>
                  <wp:wrapNone/>
                  <wp:docPr id="1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623F94" w:rsidRPr="007675D1" w:rsidRDefault="00623F94" w:rsidP="00004282">
            <w:pPr>
              <w:cnfStyle w:val="000000100000"/>
              <w:rPr>
                <w:rFonts w:ascii="Verdana" w:hAnsi="Verdana"/>
                <w:sz w:val="16"/>
                <w:szCs w:val="16"/>
              </w:rPr>
            </w:pPr>
            <w:r>
              <w:rPr>
                <w:rFonts w:ascii="Verdana" w:hAnsi="Verdana"/>
                <w:sz w:val="16"/>
                <w:szCs w:val="16"/>
              </w:rPr>
              <w:t>H</w:t>
            </w:r>
            <w:r w:rsidR="0055320E">
              <w:rPr>
                <w:rFonts w:ascii="Verdana" w:hAnsi="Verdana"/>
                <w:sz w:val="16"/>
                <w:szCs w:val="16"/>
              </w:rPr>
              <w:t>225</w:t>
            </w:r>
          </w:p>
        </w:tc>
        <w:tc>
          <w:tcPr>
            <w:tcW w:w="1134" w:type="dxa"/>
          </w:tcPr>
          <w:p w:rsidR="00623F94" w:rsidRPr="007675D1" w:rsidRDefault="00623F94" w:rsidP="00004282">
            <w:pPr>
              <w:cnfStyle w:val="000000100000"/>
              <w:rPr>
                <w:rFonts w:ascii="Verdana" w:hAnsi="Verdana"/>
                <w:sz w:val="16"/>
                <w:szCs w:val="16"/>
              </w:rPr>
            </w:pPr>
            <w:r>
              <w:rPr>
                <w:rFonts w:ascii="Verdana" w:hAnsi="Verdana"/>
                <w:sz w:val="16"/>
                <w:szCs w:val="16"/>
              </w:rPr>
              <w:t>keine</w:t>
            </w:r>
          </w:p>
        </w:tc>
        <w:tc>
          <w:tcPr>
            <w:tcW w:w="1843" w:type="dxa"/>
          </w:tcPr>
          <w:p w:rsidR="0055320E" w:rsidRDefault="00623F94" w:rsidP="0055320E">
            <w:pPr>
              <w:cnfStyle w:val="000000100000"/>
              <w:rPr>
                <w:rFonts w:ascii="Verdana" w:hAnsi="Verdana"/>
                <w:sz w:val="16"/>
                <w:szCs w:val="16"/>
              </w:rPr>
            </w:pPr>
            <w:r>
              <w:rPr>
                <w:rFonts w:ascii="Verdana" w:hAnsi="Verdana"/>
                <w:sz w:val="16"/>
                <w:szCs w:val="16"/>
              </w:rPr>
              <w:t>P</w:t>
            </w:r>
            <w:r w:rsidR="0055320E">
              <w:rPr>
                <w:rFonts w:ascii="Verdana" w:hAnsi="Verdana"/>
                <w:sz w:val="16"/>
                <w:szCs w:val="16"/>
              </w:rPr>
              <w:t>210</w:t>
            </w:r>
            <w:r w:rsidR="00961772">
              <w:rPr>
                <w:rFonts w:ascii="Verdana" w:hAnsi="Verdana"/>
                <w:sz w:val="16"/>
                <w:szCs w:val="16"/>
              </w:rPr>
              <w:t xml:space="preserve"> P233</w:t>
            </w:r>
          </w:p>
          <w:p w:rsidR="00961772" w:rsidRDefault="00961772" w:rsidP="0055320E">
            <w:pPr>
              <w:cnfStyle w:val="000000100000"/>
              <w:rPr>
                <w:rFonts w:ascii="Verdana" w:hAnsi="Verdana"/>
                <w:sz w:val="16"/>
                <w:szCs w:val="16"/>
              </w:rPr>
            </w:pPr>
            <w:r>
              <w:rPr>
                <w:rFonts w:ascii="Verdana" w:hAnsi="Verdana"/>
                <w:sz w:val="16"/>
                <w:szCs w:val="16"/>
              </w:rPr>
              <w:t>P403+233 P403+235</w:t>
            </w:r>
          </w:p>
          <w:p w:rsidR="00623F94" w:rsidRPr="007675D1" w:rsidRDefault="00623F94" w:rsidP="0055320E">
            <w:pPr>
              <w:cnfStyle w:val="000000100000"/>
              <w:rPr>
                <w:rFonts w:ascii="Verdana" w:hAnsi="Verdana"/>
                <w:sz w:val="16"/>
                <w:szCs w:val="16"/>
              </w:rPr>
            </w:pPr>
          </w:p>
        </w:tc>
        <w:tc>
          <w:tcPr>
            <w:tcW w:w="1218" w:type="dxa"/>
          </w:tcPr>
          <w:p w:rsidR="00623F94" w:rsidRPr="007675D1" w:rsidRDefault="0055320E" w:rsidP="00004282">
            <w:pPr>
              <w:cnfStyle w:val="000000100000"/>
              <w:rPr>
                <w:rFonts w:ascii="Verdana" w:hAnsi="Verdana"/>
                <w:sz w:val="16"/>
                <w:szCs w:val="16"/>
              </w:rPr>
            </w:pPr>
            <w:r>
              <w:rPr>
                <w:rFonts w:ascii="Verdana" w:hAnsi="Verdana"/>
                <w:sz w:val="16"/>
                <w:szCs w:val="16"/>
              </w:rPr>
              <w:t>960</w:t>
            </w:r>
          </w:p>
        </w:tc>
      </w:tr>
      <w:tr w:rsidR="00047246" w:rsidRPr="00AC60B9" w:rsidTr="00047246">
        <w:trPr>
          <w:trHeight w:val="794"/>
        </w:trPr>
        <w:tc>
          <w:tcPr>
            <w:cnfStyle w:val="001000000000"/>
            <w:tcW w:w="2235" w:type="dxa"/>
          </w:tcPr>
          <w:p w:rsidR="00047246" w:rsidRPr="00AC60B9" w:rsidRDefault="00047246" w:rsidP="00004282">
            <w:pPr>
              <w:rPr>
                <w:rFonts w:ascii="Verdana" w:hAnsi="Verdana"/>
                <w:b w:val="0"/>
              </w:rPr>
            </w:pPr>
            <w:r>
              <w:rPr>
                <w:rFonts w:ascii="Verdana" w:hAnsi="Verdana"/>
                <w:b w:val="0"/>
              </w:rPr>
              <w:t>Iod</w:t>
            </w:r>
          </w:p>
        </w:tc>
        <w:tc>
          <w:tcPr>
            <w:tcW w:w="1275" w:type="dxa"/>
          </w:tcPr>
          <w:p w:rsidR="00047246" w:rsidRPr="000B2DFF" w:rsidRDefault="00047246" w:rsidP="00004282">
            <w:pPr>
              <w:cnfStyle w:val="000000000000"/>
              <w:rPr>
                <w:rFonts w:ascii="Verdana" w:hAnsi="Verdana"/>
                <w:color w:val="7030A0"/>
              </w:rPr>
            </w:pPr>
            <w:r>
              <w:rPr>
                <w:rFonts w:ascii="Verdana" w:hAnsi="Verdana"/>
                <w:color w:val="7030A0"/>
              </w:rPr>
              <w:t>Achtung</w:t>
            </w:r>
          </w:p>
        </w:tc>
        <w:tc>
          <w:tcPr>
            <w:tcW w:w="1560" w:type="dxa"/>
          </w:tcPr>
          <w:p w:rsidR="00047246" w:rsidRPr="00AC60B9" w:rsidRDefault="002C3FB8" w:rsidP="00004282">
            <w:pPr>
              <w:cnfStyle w:val="000000000000"/>
              <w:rPr>
                <w:rFonts w:ascii="Verdana" w:hAnsi="Verdana"/>
              </w:rPr>
            </w:pPr>
            <w:r>
              <w:rPr>
                <w:rFonts w:ascii="Verdana" w:hAnsi="Verdana"/>
                <w:noProof/>
                <w:lang w:val="de-CH"/>
              </w:rPr>
              <w:drawing>
                <wp:anchor distT="0" distB="0" distL="114300" distR="114300" simplePos="0" relativeHeight="251682816" behindDoc="0" locked="0" layoutInCell="1" allowOverlap="1">
                  <wp:simplePos x="0" y="0"/>
                  <wp:positionH relativeFrom="margin">
                    <wp:posOffset>500380</wp:posOffset>
                  </wp:positionH>
                  <wp:positionV relativeFrom="margin">
                    <wp:posOffset>78105</wp:posOffset>
                  </wp:positionV>
                  <wp:extent cx="321945" cy="323850"/>
                  <wp:effectExtent l="19050" t="0" r="1905" b="0"/>
                  <wp:wrapNone/>
                  <wp:docPr id="1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1945" cy="323850"/>
                          </a:xfrm>
                          <a:prstGeom prst="rect">
                            <a:avLst/>
                          </a:prstGeom>
                          <a:noFill/>
                        </pic:spPr>
                      </pic:pic>
                    </a:graphicData>
                  </a:graphic>
                </wp:anchor>
              </w:drawing>
            </w:r>
            <w:r w:rsidR="00047246">
              <w:rPr>
                <w:rFonts w:ascii="Verdana" w:hAnsi="Verdana"/>
                <w:noProof/>
                <w:lang w:val="de-CH"/>
              </w:rPr>
              <w:drawing>
                <wp:anchor distT="0" distB="0" distL="114300" distR="114300" simplePos="0" relativeHeight="251683840" behindDoc="0" locked="0" layoutInCell="1" allowOverlap="1">
                  <wp:simplePos x="0" y="0"/>
                  <wp:positionH relativeFrom="margin">
                    <wp:posOffset>40005</wp:posOffset>
                  </wp:positionH>
                  <wp:positionV relativeFrom="margin">
                    <wp:posOffset>71120</wp:posOffset>
                  </wp:positionV>
                  <wp:extent cx="321310" cy="323850"/>
                  <wp:effectExtent l="19050" t="0" r="2540" b="0"/>
                  <wp:wrapNone/>
                  <wp:docPr id="18"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047246" w:rsidRPr="00AC60B9" w:rsidRDefault="002C3FB8" w:rsidP="002C3FB8">
            <w:pPr>
              <w:cnfStyle w:val="000000000000"/>
              <w:rPr>
                <w:rFonts w:ascii="Verdana" w:hAnsi="Verdana"/>
                <w:sz w:val="16"/>
                <w:szCs w:val="16"/>
              </w:rPr>
            </w:pPr>
            <w:r>
              <w:rPr>
                <w:rFonts w:ascii="Verdana" w:hAnsi="Verdana"/>
                <w:sz w:val="16"/>
                <w:szCs w:val="16"/>
              </w:rPr>
              <w:t xml:space="preserve">H312+332 </w:t>
            </w:r>
            <w:r w:rsidR="00047246">
              <w:rPr>
                <w:rFonts w:ascii="Verdana" w:hAnsi="Verdana"/>
                <w:sz w:val="16"/>
                <w:szCs w:val="16"/>
              </w:rPr>
              <w:t>H315 H319 H335 H372 H</w:t>
            </w:r>
            <w:r>
              <w:rPr>
                <w:rFonts w:ascii="Verdana" w:hAnsi="Verdana"/>
                <w:sz w:val="16"/>
                <w:szCs w:val="16"/>
              </w:rPr>
              <w:t>400</w:t>
            </w:r>
          </w:p>
        </w:tc>
        <w:tc>
          <w:tcPr>
            <w:tcW w:w="1134" w:type="dxa"/>
          </w:tcPr>
          <w:p w:rsidR="00047246" w:rsidRPr="00AC60B9" w:rsidRDefault="00047246" w:rsidP="00004282">
            <w:pPr>
              <w:cnfStyle w:val="000000000000"/>
              <w:rPr>
                <w:rFonts w:ascii="Verdana" w:hAnsi="Verdana"/>
                <w:sz w:val="16"/>
                <w:szCs w:val="16"/>
              </w:rPr>
            </w:pPr>
            <w:r>
              <w:rPr>
                <w:rFonts w:ascii="Verdana" w:hAnsi="Verdana"/>
                <w:sz w:val="16"/>
                <w:szCs w:val="16"/>
              </w:rPr>
              <w:t>keine</w:t>
            </w:r>
          </w:p>
        </w:tc>
        <w:tc>
          <w:tcPr>
            <w:tcW w:w="1843" w:type="dxa"/>
          </w:tcPr>
          <w:p w:rsidR="00047246" w:rsidRDefault="00047246" w:rsidP="00004282">
            <w:pPr>
              <w:cnfStyle w:val="000000000000"/>
              <w:rPr>
                <w:rFonts w:ascii="Verdana" w:hAnsi="Verdana"/>
                <w:sz w:val="16"/>
                <w:szCs w:val="16"/>
              </w:rPr>
            </w:pPr>
            <w:r>
              <w:rPr>
                <w:rFonts w:ascii="Verdana" w:hAnsi="Verdana"/>
                <w:sz w:val="16"/>
                <w:szCs w:val="16"/>
              </w:rPr>
              <w:t>P273 P314 P302+352</w:t>
            </w:r>
          </w:p>
          <w:p w:rsidR="00047246" w:rsidRPr="00AC60B9" w:rsidRDefault="00047246" w:rsidP="00004282">
            <w:pPr>
              <w:cnfStyle w:val="000000000000"/>
              <w:rPr>
                <w:rFonts w:ascii="Verdana" w:hAnsi="Verdana"/>
                <w:sz w:val="16"/>
                <w:szCs w:val="16"/>
              </w:rPr>
            </w:pPr>
            <w:r>
              <w:rPr>
                <w:rFonts w:ascii="Verdana" w:hAnsi="Verdana"/>
                <w:sz w:val="16"/>
                <w:szCs w:val="16"/>
              </w:rPr>
              <w:t>H305+351+338</w:t>
            </w:r>
          </w:p>
        </w:tc>
        <w:tc>
          <w:tcPr>
            <w:tcW w:w="1218" w:type="dxa"/>
          </w:tcPr>
          <w:p w:rsidR="00047246" w:rsidRPr="00AC60B9" w:rsidRDefault="00047246" w:rsidP="00004282">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276F4B" w:rsidP="00004282">
            <w:pPr>
              <w:rPr>
                <w:rFonts w:ascii="Verdana" w:hAnsi="Verdana"/>
                <w:b w:val="0"/>
              </w:rPr>
            </w:pPr>
            <w:r>
              <w:rPr>
                <w:rFonts w:ascii="Verdana" w:hAnsi="Verdana"/>
                <w:b w:val="0"/>
              </w:rPr>
              <w:t>Eiklar, gelöst in physiologischer Kochsalzlösung</w:t>
            </w:r>
          </w:p>
        </w:tc>
      </w:tr>
      <w:tr w:rsidR="005B706D" w:rsidTr="00004282">
        <w:trPr>
          <w:cnfStyle w:val="000000100000"/>
          <w:trHeight w:val="454"/>
        </w:trPr>
        <w:tc>
          <w:tcPr>
            <w:cnfStyle w:val="001000000000"/>
            <w:tcW w:w="10606" w:type="dxa"/>
          </w:tcPr>
          <w:p w:rsidR="005B706D" w:rsidRDefault="00276F4B" w:rsidP="00004282">
            <w:pPr>
              <w:rPr>
                <w:rFonts w:ascii="Verdana" w:hAnsi="Verdana"/>
                <w:b w:val="0"/>
              </w:rPr>
            </w:pPr>
            <w:r>
              <w:rPr>
                <w:rFonts w:ascii="Verdana" w:hAnsi="Verdana"/>
                <w:b w:val="0"/>
              </w:rPr>
              <w:t>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276F4B" w:rsidRPr="0039370C" w:rsidRDefault="00276F4B" w:rsidP="00276F4B">
      <w:pPr>
        <w:tabs>
          <w:tab w:val="left" w:pos="0"/>
        </w:tabs>
        <w:jc w:val="both"/>
        <w:rPr>
          <w:rFonts w:ascii="Verdana" w:hAnsi="Verdana" w:cs="Shruti"/>
          <w:i/>
          <w:lang w:val="de-CH"/>
        </w:rPr>
      </w:pPr>
      <w:r w:rsidRPr="0039370C">
        <w:rPr>
          <w:rFonts w:ascii="Verdana" w:hAnsi="Verdana" w:cs="Shruti"/>
          <w:i/>
          <w:lang w:val="de-CH"/>
        </w:rPr>
        <w:t>Ein 50:50 Gemisch von Wasser und Ethanol (96</w:t>
      </w:r>
      <w:r>
        <w:rPr>
          <w:rFonts w:ascii="Verdana" w:hAnsi="Verdana" w:cs="Shruti"/>
          <w:i/>
          <w:lang w:val="de-CH"/>
        </w:rPr>
        <w:t xml:space="preserve">%, auch Brennsprit </w:t>
      </w:r>
      <w:r w:rsidRPr="0039370C">
        <w:rPr>
          <w:rFonts w:ascii="Verdana" w:hAnsi="Verdana" w:cs="Shruti"/>
          <w:i/>
          <w:lang w:val="de-CH"/>
        </w:rPr>
        <w:t xml:space="preserve"> ist geeignet) wird entzündet und im ganz abgedunkelten Zimmer über ein schräg stehendes Brett ausgeleert. Eine eindrückliche Flammenerscheinung wird über dem Brett und am Boden des Raumes sichtbar, nach deren Erlöschen ist das Brett einfach nur nass (flambier</w:t>
      </w:r>
      <w:r>
        <w:rPr>
          <w:rFonts w:ascii="Verdana" w:hAnsi="Verdana" w:cs="Shruti"/>
          <w:i/>
          <w:lang w:val="de-CH"/>
        </w:rPr>
        <w:t>tes Brett)</w:t>
      </w:r>
      <w:r w:rsidRPr="0039370C">
        <w:rPr>
          <w:rFonts w:ascii="Verdana" w:hAnsi="Verdana" w:cs="Shruti"/>
          <w:i/>
          <w:lang w:val="de-CH"/>
        </w:rPr>
        <w:t xml:space="preserve">. Auf diese Weise kann auch ein Geldschein oder ein Stofftaschentuch flambiert werden, ohne dass dieser oder dieses Schaden davon trägt. </w:t>
      </w:r>
    </w:p>
    <w:p w:rsidR="00276F4B" w:rsidRPr="0039370C" w:rsidRDefault="00276F4B" w:rsidP="00276F4B">
      <w:pPr>
        <w:tabs>
          <w:tab w:val="left" w:pos="0"/>
        </w:tabs>
        <w:jc w:val="both"/>
        <w:rPr>
          <w:rFonts w:ascii="Verdana" w:hAnsi="Verdana" w:cs="Shruti"/>
          <w:i/>
          <w:lang w:val="de-CH"/>
        </w:rPr>
      </w:pPr>
      <w:r>
        <w:rPr>
          <w:rFonts w:ascii="Verdana" w:hAnsi="Verdana" w:cs="Shruti"/>
          <w:i/>
          <w:lang w:val="de-CH"/>
        </w:rPr>
        <w:t>Als Zweites wird</w:t>
      </w:r>
      <w:r w:rsidRPr="0039370C">
        <w:rPr>
          <w:rFonts w:ascii="Verdana" w:hAnsi="Verdana" w:cs="Shruti"/>
          <w:i/>
          <w:lang w:val="de-CH"/>
        </w:rPr>
        <w:t xml:space="preserve"> die Wirkung des Ethanols auf eine Eik</w:t>
      </w:r>
      <w:r>
        <w:rPr>
          <w:rFonts w:ascii="Verdana" w:hAnsi="Verdana" w:cs="Shruti"/>
          <w:i/>
          <w:lang w:val="de-CH"/>
        </w:rPr>
        <w:t xml:space="preserve">larlösung demonstriert, </w:t>
      </w:r>
      <w:r w:rsidRPr="0039370C">
        <w:rPr>
          <w:rFonts w:ascii="Verdana" w:hAnsi="Verdana" w:cs="Shruti"/>
          <w:i/>
          <w:lang w:val="de-CH"/>
        </w:rPr>
        <w:t xml:space="preserve">das Eiweiss </w:t>
      </w:r>
      <w:r>
        <w:rPr>
          <w:rFonts w:ascii="Verdana" w:hAnsi="Verdana" w:cs="Shruti"/>
          <w:i/>
          <w:lang w:val="de-CH"/>
        </w:rPr>
        <w:t>wird denaturiert</w:t>
      </w:r>
      <w:r w:rsidRPr="0039370C">
        <w:rPr>
          <w:rFonts w:ascii="Verdana" w:hAnsi="Verdana" w:cs="Shruti"/>
          <w:i/>
          <w:lang w:val="de-CH"/>
        </w:rPr>
        <w:t xml:space="preserve"> (wie durch Hitze oder durch Säure). </w:t>
      </w:r>
    </w:p>
    <w:p w:rsidR="00624D80" w:rsidRPr="005B706D" w:rsidRDefault="00276F4B" w:rsidP="00276F4B">
      <w:pPr>
        <w:tabs>
          <w:tab w:val="left" w:pos="0"/>
        </w:tabs>
        <w:jc w:val="both"/>
        <w:rPr>
          <w:rFonts w:ascii="Arial" w:hAnsi="Arial"/>
          <w:lang w:val="de-CH"/>
        </w:rPr>
      </w:pPr>
      <w:r w:rsidRPr="0039370C">
        <w:rPr>
          <w:rFonts w:ascii="Verdana" w:hAnsi="Verdana" w:cs="Shruti"/>
          <w:i/>
          <w:lang w:val="de-CH"/>
        </w:rPr>
        <w:t>Wird Ethanol in einem Reagenzglas mit einem Iodkriställchen versetzt, ist sofort die Braunfärbung de</w:t>
      </w:r>
      <w:r>
        <w:rPr>
          <w:rFonts w:ascii="Verdana" w:hAnsi="Verdana" w:cs="Shruti"/>
          <w:i/>
          <w:lang w:val="de-CH"/>
        </w:rPr>
        <w:t>r Lösung und die Bildung einer I</w:t>
      </w:r>
      <w:r w:rsidRPr="0039370C">
        <w:rPr>
          <w:rFonts w:ascii="Verdana" w:hAnsi="Verdana" w:cs="Shruti"/>
          <w:i/>
          <w:lang w:val="de-CH"/>
        </w:rPr>
        <w:t>odtinktur zu beobachten, was sich mit Wasser nicht erzielen lässt</w:t>
      </w:r>
      <w:r>
        <w:rPr>
          <w:rFonts w:ascii="Verdana" w:hAnsi="Verdana" w:cs="Shruti"/>
          <w:i/>
          <w:lang w:val="de-CH"/>
        </w:rPr>
        <w:t>.</w:t>
      </w:r>
      <w:r w:rsidRPr="0039370C">
        <w:rPr>
          <w:rFonts w:ascii="Verdana" w:hAnsi="Verdana" w:cs="Shruti"/>
          <w:i/>
          <w:lang w:val="de-CH"/>
        </w:rPr>
        <w:t xml:space="preserve"> </w:t>
      </w:r>
    </w:p>
    <w:p w:rsidR="008C7699" w:rsidRDefault="008C7699">
      <w:pPr>
        <w:rPr>
          <w:rFonts w:ascii="Arial" w:hAnsi="Arial"/>
        </w:rPr>
      </w:pPr>
    </w:p>
    <w:p w:rsidR="00276F4B" w:rsidRDefault="00276F4B">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276F4B" w:rsidRDefault="00276F4B" w:rsidP="008C7699">
      <w:pPr>
        <w:rPr>
          <w:rFonts w:ascii="Verdana" w:hAnsi="Verdana" w:cs="Shruti"/>
          <w:i/>
        </w:rPr>
      </w:pPr>
    </w:p>
    <w:p w:rsidR="00276F4B" w:rsidRPr="00276F4B" w:rsidRDefault="00276F4B" w:rsidP="008C7699">
      <w:pPr>
        <w:rPr>
          <w:rFonts w:ascii="Verdana" w:hAnsi="Verdana"/>
          <w:b/>
          <w:lang w:val="de-CH"/>
        </w:rPr>
      </w:pPr>
      <w:r>
        <w:rPr>
          <w:rFonts w:ascii="Verdana" w:hAnsi="Verdana" w:cs="Shruti"/>
          <w:i/>
        </w:rPr>
        <w:t>B</w:t>
      </w:r>
      <w:r w:rsidRPr="0039370C">
        <w:rPr>
          <w:rFonts w:ascii="Verdana" w:hAnsi="Verdana" w:cs="Shruti"/>
          <w:i/>
          <w:lang w:val="de-CH"/>
        </w:rPr>
        <w:t>ei diesem Experiment ist sehr darauf zu achten, dass an keiner Stelle die Ethanolflammen sich in Ritzen festsetzen könne</w:t>
      </w:r>
      <w:r>
        <w:rPr>
          <w:rFonts w:ascii="Verdana" w:hAnsi="Verdana" w:cs="Shruti"/>
          <w:i/>
          <w:lang w:val="de-CH"/>
        </w:rPr>
        <w:t>n.</w:t>
      </w:r>
    </w:p>
    <w:p w:rsidR="0055320E" w:rsidRDefault="0055320E" w:rsidP="008C7699">
      <w:pPr>
        <w:rPr>
          <w:rFonts w:ascii="Verdana" w:hAnsi="Verdana"/>
          <w:i/>
          <w:lang w:val="de-CH"/>
        </w:rPr>
      </w:pPr>
    </w:p>
    <w:p w:rsidR="009A746C" w:rsidRPr="009A746C" w:rsidRDefault="009A746C" w:rsidP="008C7699">
      <w:pPr>
        <w:rPr>
          <w:rFonts w:ascii="Verdana" w:hAnsi="Verdana"/>
          <w:i/>
          <w:lang w:val="de-CH"/>
        </w:rPr>
      </w:pPr>
    </w:p>
    <w:p w:rsidR="008C7699" w:rsidRPr="00094BA1" w:rsidRDefault="008C7699" w:rsidP="008C7699">
      <w:pPr>
        <w:rPr>
          <w:rFonts w:ascii="Verdana" w:hAnsi="Verdana"/>
          <w:b/>
        </w:rPr>
      </w:pPr>
      <w:r w:rsidRPr="00094BA1">
        <w:rPr>
          <w:rFonts w:ascii="Verdana" w:hAnsi="Verdana"/>
          <w:b/>
        </w:rPr>
        <w:lastRenderedPageBreak/>
        <w:t>Entsorgungshinweise</w:t>
      </w:r>
    </w:p>
    <w:p w:rsidR="00624D80" w:rsidRPr="00A33993" w:rsidRDefault="00624D80">
      <w:pPr>
        <w:rPr>
          <w:rFonts w:ascii="Arial" w:hAnsi="Arial"/>
        </w:rPr>
      </w:pPr>
    </w:p>
    <w:p w:rsidR="00030614" w:rsidRPr="005B706D" w:rsidRDefault="00276F4B">
      <w:pPr>
        <w:rPr>
          <w:rFonts w:ascii="Verdana" w:hAnsi="Verdana"/>
          <w:i/>
        </w:rPr>
      </w:pPr>
      <w:r>
        <w:rPr>
          <w:rFonts w:ascii="Verdana" w:hAnsi="Verdana"/>
          <w:i/>
        </w:rPr>
        <w:t xml:space="preserve">Iodtinktur mit Natriumthiosulfatlösung bis zur Entfärbung versetzten. </w:t>
      </w:r>
    </w:p>
    <w:p w:rsidR="005B706D" w:rsidRDefault="005B706D">
      <w:pPr>
        <w:rPr>
          <w:rFonts w:ascii="Verdana" w:hAnsi="Verdana"/>
          <w:b/>
        </w:rPr>
      </w:pPr>
    </w:p>
    <w:p w:rsidR="00276F4B" w:rsidRDefault="00276F4B">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30614">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276F4B">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9A746C" w:rsidTr="00382839">
        <w:trPr>
          <w:cnfStyle w:val="000000100000"/>
          <w:trHeight w:val="397"/>
        </w:trPr>
        <w:tc>
          <w:tcPr>
            <w:cnfStyle w:val="001000000000"/>
            <w:tcW w:w="2093" w:type="dxa"/>
          </w:tcPr>
          <w:p w:rsidR="00AC60B9" w:rsidRPr="009A746C" w:rsidRDefault="00961772">
            <w:pPr>
              <w:rPr>
                <w:rFonts w:ascii="Verdana" w:hAnsi="Verdana"/>
                <w:b w:val="0"/>
                <w:sz w:val="18"/>
                <w:szCs w:val="18"/>
              </w:rPr>
            </w:pPr>
            <w:r>
              <w:rPr>
                <w:rFonts w:ascii="Verdana" w:hAnsi="Verdana"/>
                <w:b w:val="0"/>
                <w:sz w:val="18"/>
                <w:szCs w:val="18"/>
              </w:rPr>
              <w:t xml:space="preserve">Durch </w:t>
            </w:r>
            <w:r w:rsidR="00AC60B9" w:rsidRPr="009A746C">
              <w:rPr>
                <w:rFonts w:ascii="Verdana" w:hAnsi="Verdana"/>
                <w:b w:val="0"/>
                <w:sz w:val="18"/>
                <w:szCs w:val="18"/>
              </w:rPr>
              <w:t>Augenkontakt</w:t>
            </w:r>
          </w:p>
        </w:tc>
        <w:tc>
          <w:tcPr>
            <w:tcW w:w="688" w:type="dxa"/>
          </w:tcPr>
          <w:p w:rsidR="00AC60B9" w:rsidRPr="009A746C" w:rsidRDefault="00AC60B9">
            <w:pPr>
              <w:cnfStyle w:val="000000100000"/>
              <w:rPr>
                <w:rFonts w:ascii="Verdana" w:hAnsi="Verdana"/>
                <w:sz w:val="18"/>
                <w:szCs w:val="18"/>
              </w:rPr>
            </w:pPr>
          </w:p>
        </w:tc>
        <w:tc>
          <w:tcPr>
            <w:tcW w:w="729" w:type="dxa"/>
          </w:tcPr>
          <w:p w:rsidR="00AC60B9" w:rsidRPr="009A746C" w:rsidRDefault="00276F4B">
            <w:pPr>
              <w:cnfStyle w:val="000000100000"/>
              <w:rPr>
                <w:rFonts w:ascii="Verdana" w:hAnsi="Verdana"/>
                <w:sz w:val="18"/>
                <w:szCs w:val="18"/>
              </w:rPr>
            </w:pPr>
            <w:r w:rsidRPr="009A746C">
              <w:rPr>
                <w:rFonts w:ascii="Verdana" w:hAnsi="Verdana"/>
                <w:sz w:val="18"/>
                <w:szCs w:val="18"/>
              </w:rPr>
              <w:t>X</w:t>
            </w:r>
          </w:p>
        </w:tc>
        <w:tc>
          <w:tcPr>
            <w:tcW w:w="7371" w:type="dxa"/>
            <w:vMerge/>
          </w:tcPr>
          <w:p w:rsidR="00AC60B9" w:rsidRPr="009A746C" w:rsidRDefault="00AC60B9">
            <w:pPr>
              <w:cnfStyle w:val="000000100000"/>
              <w:rPr>
                <w:rFonts w:ascii="Verdana" w:hAnsi="Verdana"/>
                <w:sz w:val="18"/>
                <w:szCs w:val="18"/>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9A746C">
      <w:pPr>
        <w:rPr>
          <w:rFonts w:ascii="Verdana" w:hAnsi="Verdana"/>
          <w:b/>
        </w:rPr>
      </w:pPr>
      <w:r>
        <w:rPr>
          <w:rFonts w:ascii="Verdana" w:hAnsi="Verdana"/>
          <w:b/>
          <w:noProof/>
          <w:lang w:val="de-CH"/>
        </w:rPr>
        <w:drawing>
          <wp:anchor distT="0" distB="0" distL="114300" distR="114300" simplePos="0" relativeHeight="251670528" behindDoc="0" locked="0" layoutInCell="1" allowOverlap="1">
            <wp:simplePos x="0" y="0"/>
            <wp:positionH relativeFrom="margin">
              <wp:posOffset>1837055</wp:posOffset>
            </wp:positionH>
            <wp:positionV relativeFrom="margin">
              <wp:posOffset>3537585</wp:posOffset>
            </wp:positionV>
            <wp:extent cx="401955" cy="39751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01955" cy="397510"/>
                    </a:xfrm>
                    <a:prstGeom prst="rect">
                      <a:avLst/>
                    </a:prstGeom>
                    <a:noFill/>
                  </pic:spPr>
                </pic:pic>
              </a:graphicData>
            </a:graphic>
          </wp:anchor>
        </w:drawing>
      </w:r>
    </w:p>
    <w:p w:rsidR="00382839" w:rsidRDefault="00382839">
      <w:pPr>
        <w:rPr>
          <w:rFonts w:ascii="Verdana" w:hAnsi="Verdana"/>
          <w:b/>
        </w:rPr>
      </w:pPr>
    </w:p>
    <w:p w:rsidR="00382839" w:rsidRDefault="00276F4B">
      <w:pPr>
        <w:rPr>
          <w:rFonts w:ascii="Verdana" w:hAnsi="Verdana"/>
          <w:b/>
        </w:rPr>
      </w:pPr>
      <w:r>
        <w:rPr>
          <w:rFonts w:ascii="Verdana" w:hAnsi="Verdana"/>
          <w:i/>
        </w:rPr>
        <w:t xml:space="preserve">                      </w:t>
      </w:r>
      <w:r w:rsidR="00030614">
        <w:rPr>
          <w:rFonts w:ascii="Verdana" w:hAnsi="Verdana"/>
          <w:i/>
        </w:rPr>
        <w:t xml:space="preserve">Schutzbrille                                         </w:t>
      </w:r>
    </w:p>
    <w:p w:rsidR="00276F4B" w:rsidRDefault="00276F4B" w:rsidP="00030614">
      <w:pPr>
        <w:rPr>
          <w:rFonts w:ascii="Verdana" w:hAnsi="Verdana"/>
          <w:i/>
        </w:rPr>
      </w:pPr>
    </w:p>
    <w:p w:rsidR="00030614" w:rsidRPr="003E34EF" w:rsidRDefault="00030614" w:rsidP="00030614">
      <w:pPr>
        <w:rPr>
          <w:rFonts w:ascii="Verdana" w:hAnsi="Verdana"/>
          <w:i/>
        </w:rPr>
      </w:pPr>
      <w:r>
        <w:rPr>
          <w:rFonts w:ascii="Verdana" w:hAnsi="Verdana"/>
          <w:i/>
        </w:rPr>
        <w:t>Die Betriebsanweisung für Schülerinnen und Schüler wird beachtet.</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030614" w:rsidRPr="00A33993" w:rsidRDefault="00030614" w:rsidP="00030614">
      <w:pPr>
        <w:rPr>
          <w:rFonts w:ascii="Arial" w:hAnsi="Arial"/>
        </w:rPr>
      </w:pPr>
      <w:r>
        <w:rPr>
          <w:rFonts w:ascii="Verdana" w:hAnsi="Verdana"/>
          <w:i/>
        </w:rPr>
        <w:t>Durchgeführt. Die notwendigen Schutzmaßnahmen werden getroffen.</w:t>
      </w:r>
    </w:p>
    <w:p w:rsidR="00A33993" w:rsidRPr="00A33993" w:rsidRDefault="00A33993">
      <w:pPr>
        <w:rPr>
          <w:rFonts w:ascii="Arial" w:hAnsi="Arial"/>
        </w:rPr>
      </w:pPr>
    </w:p>
    <w:p w:rsidR="00624D80" w:rsidRDefault="00624D80">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61772" w:rsidRDefault="00961772">
      <w:pPr>
        <w:rPr>
          <w:rFonts w:ascii="Verdana" w:hAnsi="Verdana"/>
        </w:rPr>
      </w:pPr>
    </w:p>
    <w:p w:rsidR="009A746C" w:rsidRDefault="009A746C" w:rsidP="009A746C">
      <w:pPr>
        <w:rPr>
          <w:rFonts w:ascii="Verdana" w:hAnsi="Verdana"/>
          <w:b/>
        </w:rPr>
      </w:pPr>
      <w:r>
        <w:rPr>
          <w:rFonts w:ascii="Verdana" w:hAnsi="Verdana"/>
          <w:b/>
        </w:rPr>
        <w:t>Anmerkungen</w:t>
      </w:r>
    </w:p>
    <w:p w:rsidR="009A746C" w:rsidRDefault="009A746C" w:rsidP="009A746C">
      <w:pPr>
        <w:rPr>
          <w:rFonts w:ascii="Verdana" w:hAnsi="Verdana"/>
          <w:b/>
        </w:rPr>
      </w:pPr>
    </w:p>
    <w:p w:rsidR="009A746C" w:rsidRPr="009A746C" w:rsidRDefault="009A746C" w:rsidP="009A746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H225</w:t>
      </w:r>
      <w:r w:rsidRPr="009A746C">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Flüssigkeit und Dampf leicht entzündbar.</w:t>
      </w:r>
    </w:p>
    <w:p w:rsidR="009A746C" w:rsidRPr="001B504D" w:rsidRDefault="009A746C" w:rsidP="009A746C">
      <w:pPr>
        <w:pBdr>
          <w:between w:val="single" w:sz="4" w:space="1" w:color="auto"/>
          <w:bar w:val="single" w:sz="4" w:color="auto"/>
        </w:pBdr>
        <w:shd w:val="clear" w:color="auto" w:fill="F7CAAC" w:themeFill="accent2" w:themeFillTint="66"/>
        <w:rPr>
          <w:rFonts w:ascii="Verdana" w:hAnsi="Verdana"/>
          <w:sz w:val="16"/>
          <w:szCs w:val="16"/>
          <w:lang w:val="de-CH"/>
        </w:rPr>
      </w:pPr>
      <w:r w:rsidRPr="001B504D">
        <w:rPr>
          <w:rFonts w:ascii="Verdana" w:hAnsi="Verdana"/>
          <w:sz w:val="16"/>
          <w:szCs w:val="16"/>
          <w:lang w:val="de-CH"/>
        </w:rPr>
        <w:t xml:space="preserve">H312+332 </w:t>
      </w:r>
      <w:r w:rsidRPr="001B504D">
        <w:rPr>
          <w:rFonts w:ascii="Verdana" w:hAnsi="Verdana"/>
          <w:sz w:val="16"/>
          <w:szCs w:val="16"/>
          <w:lang w:val="de-CH"/>
        </w:rPr>
        <w:tab/>
      </w:r>
      <w:r w:rsidRPr="001B504D">
        <w:rPr>
          <w:rFonts w:ascii="Verdana" w:hAnsi="Verdana"/>
          <w:sz w:val="16"/>
          <w:szCs w:val="16"/>
          <w:lang w:eastAsia="zh-CN"/>
        </w:rPr>
        <w:t>Gesundheitsschädlich bei Verschlucken, Hautkontakt oder Einatmen.</w:t>
      </w:r>
    </w:p>
    <w:p w:rsidR="009A746C" w:rsidRPr="001B504D" w:rsidRDefault="009A746C" w:rsidP="009A746C">
      <w:pPr>
        <w:pBdr>
          <w:between w:val="single" w:sz="4" w:space="1" w:color="auto"/>
          <w:bar w:val="single" w:sz="4" w:color="auto"/>
        </w:pBdr>
        <w:shd w:val="clear" w:color="auto" w:fill="F7CAAC" w:themeFill="accent2" w:themeFillTint="66"/>
        <w:rPr>
          <w:rFonts w:ascii="Verdana" w:hAnsi="Verdana"/>
          <w:sz w:val="16"/>
          <w:szCs w:val="16"/>
          <w:lang w:val="de-CH"/>
        </w:rPr>
      </w:pPr>
      <w:r w:rsidRPr="001B504D">
        <w:rPr>
          <w:rFonts w:ascii="Verdana" w:hAnsi="Verdana"/>
          <w:sz w:val="16"/>
          <w:szCs w:val="16"/>
          <w:lang w:val="de-CH"/>
        </w:rPr>
        <w:t xml:space="preserve">H315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Verursacht Hautreizungen.</w:t>
      </w:r>
    </w:p>
    <w:p w:rsidR="009A746C" w:rsidRPr="001B504D" w:rsidRDefault="009A746C" w:rsidP="009A746C">
      <w:pPr>
        <w:pBdr>
          <w:between w:val="single" w:sz="4" w:space="1" w:color="auto"/>
          <w:bar w:val="single" w:sz="4" w:color="auto"/>
        </w:pBdr>
        <w:shd w:val="clear" w:color="auto" w:fill="F7CAAC" w:themeFill="accent2" w:themeFillTint="66"/>
        <w:rPr>
          <w:rFonts w:ascii="Verdana" w:hAnsi="Verdana"/>
          <w:sz w:val="16"/>
          <w:szCs w:val="16"/>
          <w:lang w:val="de-CH"/>
        </w:rPr>
      </w:pPr>
      <w:r w:rsidRPr="001B504D">
        <w:rPr>
          <w:rFonts w:ascii="Verdana" w:hAnsi="Verdana"/>
          <w:sz w:val="16"/>
          <w:szCs w:val="16"/>
          <w:lang w:val="de-CH"/>
        </w:rPr>
        <w:t xml:space="preserve">H319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Verursacht schwere Augenreizung.</w:t>
      </w:r>
    </w:p>
    <w:p w:rsidR="009A746C" w:rsidRPr="001B504D" w:rsidRDefault="009A746C" w:rsidP="009A746C">
      <w:pPr>
        <w:pBdr>
          <w:between w:val="single" w:sz="4" w:space="1" w:color="auto"/>
          <w:bar w:val="single" w:sz="4" w:color="auto"/>
        </w:pBdr>
        <w:shd w:val="clear" w:color="auto" w:fill="F7CAAC" w:themeFill="accent2" w:themeFillTint="66"/>
        <w:rPr>
          <w:rFonts w:ascii="Verdana" w:hAnsi="Verdana"/>
          <w:sz w:val="16"/>
          <w:szCs w:val="16"/>
          <w:lang w:val="de-CH"/>
        </w:rPr>
      </w:pPr>
      <w:r w:rsidRPr="001B504D">
        <w:rPr>
          <w:rFonts w:ascii="Verdana" w:hAnsi="Verdana"/>
          <w:sz w:val="16"/>
          <w:szCs w:val="16"/>
          <w:lang w:val="de-CH"/>
        </w:rPr>
        <w:t xml:space="preserve">H335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Kann die Atemwege reizen.</w:t>
      </w:r>
    </w:p>
    <w:p w:rsidR="009A746C" w:rsidRPr="001B504D" w:rsidRDefault="009A746C" w:rsidP="009A746C">
      <w:pPr>
        <w:pBdr>
          <w:between w:val="single" w:sz="4" w:space="1" w:color="auto"/>
          <w:bar w:val="single" w:sz="4" w:color="auto"/>
        </w:pBdr>
        <w:shd w:val="clear" w:color="auto" w:fill="F7CAAC" w:themeFill="accent2" w:themeFillTint="66"/>
        <w:rPr>
          <w:rFonts w:ascii="Verdana" w:hAnsi="Verdana"/>
          <w:sz w:val="16"/>
          <w:szCs w:val="16"/>
          <w:lang w:eastAsia="zh-CN"/>
        </w:rPr>
      </w:pPr>
      <w:r w:rsidRPr="001B504D">
        <w:rPr>
          <w:rFonts w:ascii="Verdana" w:hAnsi="Verdana"/>
          <w:sz w:val="16"/>
          <w:szCs w:val="16"/>
          <w:lang w:val="de-CH"/>
        </w:rPr>
        <w:t xml:space="preserve">H372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rPr>
        <w:t>Schädigt die Schilddrüse bei längerer oder wiederholter Exposition durch Verschlucken.</w:t>
      </w:r>
    </w:p>
    <w:p w:rsidR="009A746C" w:rsidRPr="001B504D" w:rsidRDefault="009A746C" w:rsidP="009A746C">
      <w:pPr>
        <w:pBdr>
          <w:between w:val="single" w:sz="4" w:space="1" w:color="auto"/>
          <w:bar w:val="single" w:sz="4" w:color="auto"/>
        </w:pBdr>
        <w:shd w:val="clear" w:color="auto" w:fill="F7CAAC" w:themeFill="accent2" w:themeFillTint="66"/>
        <w:rPr>
          <w:lang w:val="de-CH"/>
        </w:rPr>
      </w:pPr>
      <w:r w:rsidRPr="001B504D">
        <w:rPr>
          <w:rFonts w:ascii="Verdana" w:hAnsi="Verdana"/>
          <w:sz w:val="16"/>
          <w:szCs w:val="16"/>
          <w:lang w:val="de-CH"/>
        </w:rPr>
        <w:t>H400</w:t>
      </w:r>
      <w:r w:rsidRPr="001B504D">
        <w:rPr>
          <w:rFonts w:ascii="Verdana" w:hAnsi="Verdana"/>
          <w:sz w:val="16"/>
          <w:szCs w:val="16"/>
          <w:lang w:eastAsia="zh-CN"/>
        </w:rPr>
        <w:t xml:space="preserve"> </w:t>
      </w:r>
      <w:r w:rsidRPr="001B504D">
        <w:rPr>
          <w:rFonts w:ascii="Verdana" w:hAnsi="Verdana"/>
          <w:sz w:val="16"/>
          <w:szCs w:val="16"/>
          <w:lang w:eastAsia="zh-CN"/>
        </w:rPr>
        <w:tab/>
      </w:r>
      <w:r w:rsidRPr="001B504D">
        <w:rPr>
          <w:rFonts w:ascii="Verdana" w:hAnsi="Verdana"/>
          <w:sz w:val="16"/>
          <w:szCs w:val="16"/>
          <w:lang w:eastAsia="zh-CN"/>
        </w:rPr>
        <w:tab/>
        <w:t xml:space="preserve">Sehr giftig für Wasserorganismen.  </w:t>
      </w:r>
    </w:p>
    <w:p w:rsidR="009A746C" w:rsidRDefault="009A746C" w:rsidP="009A746C">
      <w:pPr>
        <w:pBdr>
          <w:between w:val="single" w:sz="4" w:space="1" w:color="auto"/>
          <w:bar w:val="single" w:sz="4" w:color="auto"/>
        </w:pBdr>
        <w:rPr>
          <w:rFonts w:ascii="Verdana" w:hAnsi="Verdana"/>
          <w:sz w:val="16"/>
          <w:szCs w:val="16"/>
          <w:lang w:val="de-CH"/>
        </w:rPr>
      </w:pPr>
    </w:p>
    <w:p w:rsidR="009A746C" w:rsidRDefault="009A746C" w:rsidP="009A746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val="de-CH"/>
        </w:rPr>
        <w:t>P210</w:t>
      </w:r>
      <w:r w:rsidRPr="009A746C">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w:t>
      </w:r>
      <w:r w:rsidR="00072ADD">
        <w:rPr>
          <w:rFonts w:ascii="Verdana" w:hAnsi="Verdana"/>
          <w:sz w:val="16"/>
          <w:szCs w:val="16"/>
          <w:lang w:eastAsia="zh-CN"/>
        </w:rPr>
        <w:t>n</w:t>
      </w:r>
      <w:r w:rsidRPr="00693B6E">
        <w:rPr>
          <w:rFonts w:ascii="Verdana" w:hAnsi="Verdana"/>
          <w:sz w:val="16"/>
          <w:szCs w:val="16"/>
          <w:lang w:eastAsia="zh-CN"/>
        </w:rPr>
        <w:t xml:space="preserve"> fernhalten. </w:t>
      </w:r>
    </w:p>
    <w:p w:rsidR="00961772" w:rsidRPr="001B504D" w:rsidRDefault="00961772" w:rsidP="009A74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eastAsia="zh-CN"/>
        </w:rPr>
        <w:t>P233</w:t>
      </w:r>
      <w:r w:rsidRPr="00961772">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Behälter dicht verschlossen halten.</w:t>
      </w:r>
    </w:p>
    <w:p w:rsidR="009A746C" w:rsidRPr="001B504D" w:rsidRDefault="009A746C" w:rsidP="009A746C">
      <w:pPr>
        <w:pBdr>
          <w:between w:val="single" w:sz="4" w:space="1" w:color="auto"/>
          <w:bar w:val="single" w:sz="4" w:color="auto"/>
        </w:pBdr>
        <w:shd w:val="clear" w:color="auto" w:fill="BDD6EE" w:themeFill="accent1" w:themeFillTint="66"/>
        <w:rPr>
          <w:rFonts w:ascii="Verdana" w:hAnsi="Verdana"/>
          <w:sz w:val="16"/>
          <w:szCs w:val="16"/>
          <w:lang w:val="de-CH"/>
        </w:rPr>
      </w:pPr>
      <w:r w:rsidRPr="001B504D">
        <w:rPr>
          <w:rFonts w:ascii="Verdana" w:hAnsi="Verdana"/>
          <w:sz w:val="16"/>
          <w:szCs w:val="16"/>
          <w:lang w:val="de-CH"/>
        </w:rPr>
        <w:t xml:space="preserve">P273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Freisetzung in die Umwelt vermeiden.</w:t>
      </w:r>
    </w:p>
    <w:p w:rsidR="009A746C" w:rsidRPr="001B504D" w:rsidRDefault="009A746C" w:rsidP="009A746C">
      <w:pPr>
        <w:pBdr>
          <w:between w:val="single" w:sz="4" w:space="1" w:color="auto"/>
          <w:bar w:val="single" w:sz="4" w:color="auto"/>
        </w:pBdr>
        <w:shd w:val="clear" w:color="auto" w:fill="BDD6EE" w:themeFill="accent1" w:themeFillTint="66"/>
        <w:rPr>
          <w:rFonts w:ascii="Verdana" w:hAnsi="Verdana"/>
          <w:sz w:val="16"/>
          <w:szCs w:val="16"/>
          <w:lang w:val="de-CH"/>
        </w:rPr>
      </w:pPr>
      <w:r w:rsidRPr="001B504D">
        <w:rPr>
          <w:rFonts w:ascii="Verdana" w:hAnsi="Verdana"/>
          <w:sz w:val="16"/>
          <w:szCs w:val="16"/>
          <w:lang w:val="de-CH"/>
        </w:rPr>
        <w:t>P302+352</w:t>
      </w:r>
      <w:r w:rsidRPr="001B504D">
        <w:rPr>
          <w:rFonts w:ascii="Verdana" w:hAnsi="Verdana"/>
          <w:sz w:val="16"/>
          <w:szCs w:val="16"/>
          <w:lang w:eastAsia="zh-CN"/>
        </w:rPr>
        <w:t xml:space="preserve"> </w:t>
      </w:r>
      <w:r w:rsidRPr="001B504D">
        <w:rPr>
          <w:rFonts w:ascii="Verdana" w:hAnsi="Verdana"/>
          <w:sz w:val="16"/>
          <w:szCs w:val="16"/>
          <w:lang w:eastAsia="zh-CN"/>
        </w:rPr>
        <w:tab/>
        <w:t>Bei Berührung mit der Haut: Mit viel Wasser und Seife waschen.</w:t>
      </w:r>
    </w:p>
    <w:p w:rsidR="009A746C" w:rsidRPr="001B504D" w:rsidRDefault="009A746C" w:rsidP="009A746C">
      <w:pPr>
        <w:pBdr>
          <w:between w:val="single" w:sz="4" w:space="1" w:color="auto"/>
          <w:bar w:val="single" w:sz="4" w:color="auto"/>
        </w:pBdr>
        <w:shd w:val="clear" w:color="auto" w:fill="BDD6EE" w:themeFill="accent1" w:themeFillTint="66"/>
        <w:rPr>
          <w:rFonts w:ascii="Verdana" w:hAnsi="Verdana"/>
          <w:sz w:val="16"/>
          <w:szCs w:val="16"/>
          <w:lang w:val="de-CH"/>
        </w:rPr>
      </w:pPr>
      <w:r w:rsidRPr="001B504D">
        <w:rPr>
          <w:rFonts w:ascii="Verdana" w:hAnsi="Verdana"/>
          <w:sz w:val="16"/>
          <w:szCs w:val="16"/>
          <w:lang w:val="de-CH"/>
        </w:rPr>
        <w:t>P305+351+338</w:t>
      </w:r>
      <w:r w:rsidRPr="001B504D">
        <w:rPr>
          <w:rFonts w:ascii="Verdana" w:hAnsi="Verdana"/>
          <w:sz w:val="16"/>
          <w:szCs w:val="16"/>
          <w:lang w:eastAsia="zh-CN"/>
        </w:rPr>
        <w:t xml:space="preserve"> </w:t>
      </w:r>
      <w:r w:rsidRPr="001B504D">
        <w:rPr>
          <w:rFonts w:ascii="Verdana" w:hAnsi="Verdana"/>
          <w:sz w:val="16"/>
          <w:szCs w:val="16"/>
          <w:lang w:eastAsia="zh-CN"/>
        </w:rPr>
        <w:tab/>
        <w:t xml:space="preserve">Bei Berührung mit den Augen: Einige Minuten lang vorsichtig mit Wasser ausspülen. Eventuell. vorhandene </w:t>
      </w:r>
      <w:r w:rsidRPr="001B504D">
        <w:rPr>
          <w:rFonts w:ascii="Verdana" w:hAnsi="Verdana"/>
          <w:sz w:val="16"/>
          <w:szCs w:val="16"/>
          <w:lang w:eastAsia="zh-CN"/>
        </w:rPr>
        <w:tab/>
      </w:r>
      <w:r w:rsidRPr="001B504D">
        <w:rPr>
          <w:rFonts w:ascii="Verdana" w:hAnsi="Verdana"/>
          <w:sz w:val="16"/>
          <w:szCs w:val="16"/>
          <w:lang w:eastAsia="zh-CN"/>
        </w:rPr>
        <w:tab/>
        <w:t>Kontaktlinsen nach Möglichkeit entfernen. Weiter ausspülen.</w:t>
      </w:r>
    </w:p>
    <w:p w:rsidR="009A746C" w:rsidRDefault="009A746C" w:rsidP="009A746C">
      <w:pPr>
        <w:pBdr>
          <w:between w:val="single" w:sz="4" w:space="1" w:color="auto"/>
          <w:bar w:val="single" w:sz="4" w:color="auto"/>
        </w:pBdr>
        <w:shd w:val="clear" w:color="auto" w:fill="BDD6EE" w:themeFill="accent1" w:themeFillTint="66"/>
        <w:rPr>
          <w:rFonts w:ascii="Verdana" w:hAnsi="Verdana"/>
          <w:sz w:val="16"/>
          <w:szCs w:val="16"/>
          <w:lang w:eastAsia="zh-CN"/>
        </w:rPr>
      </w:pPr>
      <w:r w:rsidRPr="001B504D">
        <w:rPr>
          <w:rFonts w:ascii="Verdana" w:hAnsi="Verdana"/>
          <w:sz w:val="16"/>
          <w:szCs w:val="16"/>
          <w:lang w:val="de-CH"/>
        </w:rPr>
        <w:t xml:space="preserve">P314 </w:t>
      </w:r>
      <w:r w:rsidRPr="001B504D">
        <w:rPr>
          <w:rFonts w:ascii="Verdana" w:hAnsi="Verdana"/>
          <w:sz w:val="16"/>
          <w:szCs w:val="16"/>
          <w:lang w:val="de-CH"/>
        </w:rPr>
        <w:tab/>
      </w:r>
      <w:r w:rsidRPr="001B504D">
        <w:rPr>
          <w:rFonts w:ascii="Verdana" w:hAnsi="Verdana"/>
          <w:sz w:val="16"/>
          <w:szCs w:val="16"/>
          <w:lang w:val="de-CH"/>
        </w:rPr>
        <w:tab/>
      </w:r>
      <w:r w:rsidRPr="001B504D">
        <w:rPr>
          <w:rFonts w:ascii="Verdana" w:hAnsi="Verdana"/>
          <w:sz w:val="16"/>
          <w:szCs w:val="16"/>
          <w:lang w:eastAsia="zh-CN"/>
        </w:rPr>
        <w:t>Bei Unwohlsein ärztlichen Rat einholen / ärztliche Hilfe hinzuziehen.</w:t>
      </w:r>
    </w:p>
    <w:p w:rsidR="00961772" w:rsidRDefault="00961772" w:rsidP="009A746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P403+233</w:t>
      </w:r>
      <w:r>
        <w:rPr>
          <w:rFonts w:ascii="Verdana" w:hAnsi="Verdana"/>
          <w:sz w:val="16"/>
          <w:szCs w:val="16"/>
          <w:lang w:eastAsia="zh-CN"/>
        </w:rPr>
        <w:tab/>
      </w:r>
      <w:r w:rsidRPr="00693B6E">
        <w:rPr>
          <w:rFonts w:ascii="Verdana" w:hAnsi="Verdana"/>
          <w:sz w:val="16"/>
          <w:szCs w:val="16"/>
          <w:lang w:eastAsia="zh-CN"/>
        </w:rPr>
        <w:t>An einem gut belüfteten Ort aufbewahren. Behälter dicht verschlossen halten.</w:t>
      </w:r>
    </w:p>
    <w:p w:rsidR="00961772" w:rsidRPr="001B504D" w:rsidRDefault="00961772" w:rsidP="009A74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eastAsia="zh-CN"/>
        </w:rPr>
        <w:t>P403+235</w:t>
      </w:r>
      <w:r>
        <w:rPr>
          <w:rFonts w:ascii="Verdana" w:hAnsi="Verdana"/>
          <w:sz w:val="16"/>
          <w:szCs w:val="16"/>
          <w:lang w:eastAsia="zh-CN"/>
        </w:rPr>
        <w:tab/>
      </w:r>
      <w:r w:rsidRPr="00693B6E">
        <w:rPr>
          <w:rFonts w:ascii="Verdana" w:hAnsi="Verdana"/>
          <w:sz w:val="16"/>
          <w:szCs w:val="16"/>
          <w:lang w:eastAsia="zh-CN"/>
        </w:rPr>
        <w:t>An einem gut belüfteten Ort aufbewahren. Kühl halten.</w:t>
      </w:r>
    </w:p>
    <w:p w:rsidR="009A746C" w:rsidRDefault="009A746C" w:rsidP="009A746C">
      <w:pPr>
        <w:rPr>
          <w:rFonts w:ascii="Verdana" w:hAnsi="Verdana"/>
          <w:lang w:val="de-CH"/>
        </w:rPr>
      </w:pPr>
    </w:p>
    <w:p w:rsidR="00171B77" w:rsidRPr="009A746C" w:rsidRDefault="00171B77">
      <w:pPr>
        <w:rPr>
          <w:rFonts w:ascii="Verdana" w:hAnsi="Verdana"/>
          <w:lang w:val="de-CH"/>
        </w:rPr>
      </w:pPr>
    </w:p>
    <w:p w:rsidR="009A746C" w:rsidRDefault="009A746C">
      <w:pPr>
        <w:rPr>
          <w:rFonts w:ascii="Verdana" w:hAnsi="Verdana"/>
        </w:rPr>
      </w:pPr>
    </w:p>
    <w:p w:rsidR="00171B77" w:rsidRPr="00094BA1" w:rsidRDefault="00171B77">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9A746C" w:rsidRDefault="009A746C">
      <w:pPr>
        <w:rPr>
          <w:rFonts w:ascii="Arial" w:hAnsi="Arial"/>
          <w:sz w:val="24"/>
        </w:rPr>
      </w:pPr>
    </w:p>
    <w:p w:rsidR="009A746C" w:rsidRDefault="009A746C">
      <w:pPr>
        <w:rPr>
          <w:rFonts w:ascii="Arial" w:hAnsi="Arial"/>
          <w:sz w:val="24"/>
        </w:rPr>
      </w:pPr>
    </w:p>
    <w:p w:rsidR="009A746C" w:rsidRDefault="009A746C">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9A746C" w:rsidRDefault="009A746C">
      <w:pPr>
        <w:rPr>
          <w:rFonts w:ascii="Verdana" w:hAnsi="Verdana"/>
        </w:rPr>
      </w:pPr>
    </w:p>
    <w:p w:rsidR="009A746C" w:rsidRDefault="009A746C">
      <w:pPr>
        <w:rPr>
          <w:rFonts w:ascii="Verdana" w:hAnsi="Verdana"/>
        </w:rPr>
      </w:pPr>
    </w:p>
    <w:p w:rsidR="009A746C" w:rsidRDefault="009A746C">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171B77" w:rsidRDefault="00171B77" w:rsidP="00030614">
      <w:pPr>
        <w:rPr>
          <w:rFonts w:ascii="Verdana" w:hAnsi="Verdana"/>
        </w:rPr>
      </w:pPr>
    </w:p>
    <w:p w:rsidR="00171B77" w:rsidRDefault="00171B77" w:rsidP="00030614">
      <w:pPr>
        <w:rPr>
          <w:rFonts w:ascii="Verdana" w:hAnsi="Verdana"/>
        </w:rPr>
      </w:pPr>
    </w:p>
    <w:p w:rsidR="009A746C" w:rsidRDefault="009A746C" w:rsidP="00030614">
      <w:pPr>
        <w:rPr>
          <w:rFonts w:ascii="Verdana" w:hAnsi="Verdana"/>
        </w:rPr>
      </w:pPr>
    </w:p>
    <w:p w:rsidR="00961772" w:rsidRDefault="00961772" w:rsidP="00030614">
      <w:pPr>
        <w:rPr>
          <w:rFonts w:ascii="Verdana" w:hAnsi="Verdana"/>
        </w:rPr>
      </w:pPr>
    </w:p>
    <w:p w:rsidR="009A746C" w:rsidRDefault="009A746C" w:rsidP="00030614">
      <w:pPr>
        <w:rPr>
          <w:rFonts w:ascii="Verdana" w:hAnsi="Verdana"/>
        </w:rPr>
      </w:pPr>
    </w:p>
    <w:p w:rsidR="009A746C" w:rsidRDefault="009A746C" w:rsidP="00030614">
      <w:pPr>
        <w:rPr>
          <w:rFonts w:ascii="Verdana" w:hAnsi="Verdana"/>
        </w:rPr>
      </w:pPr>
    </w:p>
    <w:p w:rsidR="009A746C" w:rsidRDefault="009A746C" w:rsidP="00030614">
      <w:pPr>
        <w:rPr>
          <w:rFonts w:ascii="Verdana" w:hAnsi="Verdana"/>
        </w:rPr>
      </w:pPr>
    </w:p>
    <w:p w:rsidR="009A746C" w:rsidRDefault="009A746C" w:rsidP="00030614">
      <w:pPr>
        <w:rPr>
          <w:rFonts w:ascii="Verdana" w:hAnsi="Verdana"/>
        </w:rPr>
      </w:pPr>
    </w:p>
    <w:p w:rsidR="009A746C" w:rsidRDefault="009A746C" w:rsidP="00030614">
      <w:pPr>
        <w:rPr>
          <w:rFonts w:ascii="Verdana" w:hAnsi="Verdana"/>
        </w:rPr>
      </w:pPr>
    </w:p>
    <w:p w:rsidR="009A746C" w:rsidRDefault="009A746C" w:rsidP="00030614">
      <w:pPr>
        <w:rPr>
          <w:rFonts w:ascii="Verdana" w:hAnsi="Verdana"/>
        </w:rPr>
      </w:pPr>
    </w:p>
    <w:p w:rsidR="009A746C" w:rsidRDefault="009A746C" w:rsidP="00030614">
      <w:pPr>
        <w:rPr>
          <w:rFonts w:ascii="Verdana" w:hAnsi="Verdana"/>
        </w:rPr>
      </w:pPr>
    </w:p>
    <w:p w:rsidR="009A746C" w:rsidRDefault="009A746C" w:rsidP="00030614">
      <w:pPr>
        <w:rPr>
          <w:rFonts w:ascii="Verdana" w:hAnsi="Verdana"/>
        </w:rPr>
      </w:pPr>
    </w:p>
    <w:p w:rsidR="009A746C" w:rsidRDefault="009A746C" w:rsidP="00030614">
      <w:pPr>
        <w:rPr>
          <w:rFonts w:ascii="Verdana" w:hAnsi="Verdana"/>
        </w:rPr>
      </w:pPr>
    </w:p>
    <w:p w:rsidR="00171B77" w:rsidRDefault="00171B77" w:rsidP="00030614">
      <w:pPr>
        <w:rPr>
          <w:rFonts w:ascii="Verdana" w:hAnsi="Verdana"/>
        </w:rPr>
      </w:pPr>
    </w:p>
    <w:p w:rsidR="00382839" w:rsidRPr="00DC32FF" w:rsidRDefault="00382839" w:rsidP="009A746C">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9A746C">
        <w:rPr>
          <w:rFonts w:ascii="Verdana" w:hAnsi="Verdana"/>
          <w:sz w:val="16"/>
          <w:szCs w:val="16"/>
        </w:rPr>
        <w:t xml:space="preserve"> / Atelierschule Zürich / Erstelldatum: 16.05.2015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64" w:rsidRDefault="00685664" w:rsidP="00015609">
      <w:r>
        <w:separator/>
      </w:r>
    </w:p>
  </w:endnote>
  <w:endnote w:type="continuationSeparator" w:id="0">
    <w:p w:rsidR="00685664" w:rsidRDefault="00685664"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64" w:rsidRDefault="00685664" w:rsidP="00015609">
      <w:r>
        <w:separator/>
      </w:r>
    </w:p>
  </w:footnote>
  <w:footnote w:type="continuationSeparator" w:id="0">
    <w:p w:rsidR="00685664" w:rsidRDefault="00685664"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4F77BF" w:rsidP="00015609">
    <w:pPr>
      <w:pStyle w:val="Kopfzeile"/>
      <w:tabs>
        <w:tab w:val="clear" w:pos="4536"/>
        <w:tab w:val="clear" w:pos="9072"/>
        <w:tab w:val="left" w:pos="8445"/>
      </w:tabs>
    </w:pPr>
    <w:r w:rsidRPr="004F77BF">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4F77BF">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4F77BF">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47246"/>
    <w:rsid w:val="00047294"/>
    <w:rsid w:val="00051F72"/>
    <w:rsid w:val="00072ADD"/>
    <w:rsid w:val="00094BA1"/>
    <w:rsid w:val="000D37C8"/>
    <w:rsid w:val="001005CA"/>
    <w:rsid w:val="00112DC4"/>
    <w:rsid w:val="00142B91"/>
    <w:rsid w:val="001653C7"/>
    <w:rsid w:val="00171B77"/>
    <w:rsid w:val="00173A89"/>
    <w:rsid w:val="00173ECE"/>
    <w:rsid w:val="001A6020"/>
    <w:rsid w:val="001C32D5"/>
    <w:rsid w:val="001E1C19"/>
    <w:rsid w:val="001E2122"/>
    <w:rsid w:val="001E53A7"/>
    <w:rsid w:val="00221ED2"/>
    <w:rsid w:val="0024642C"/>
    <w:rsid w:val="00260D73"/>
    <w:rsid w:val="00276F4B"/>
    <w:rsid w:val="002C3FB8"/>
    <w:rsid w:val="002E3A90"/>
    <w:rsid w:val="002E3B1E"/>
    <w:rsid w:val="003372CF"/>
    <w:rsid w:val="00363754"/>
    <w:rsid w:val="00366065"/>
    <w:rsid w:val="00382839"/>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2323"/>
    <w:rsid w:val="004B4FF4"/>
    <w:rsid w:val="004C07E3"/>
    <w:rsid w:val="004D4026"/>
    <w:rsid w:val="004F77BF"/>
    <w:rsid w:val="005110B4"/>
    <w:rsid w:val="00523D26"/>
    <w:rsid w:val="0055320E"/>
    <w:rsid w:val="005643F9"/>
    <w:rsid w:val="005A207F"/>
    <w:rsid w:val="005A4729"/>
    <w:rsid w:val="005B706D"/>
    <w:rsid w:val="005E2480"/>
    <w:rsid w:val="006133D7"/>
    <w:rsid w:val="00623F94"/>
    <w:rsid w:val="00624D80"/>
    <w:rsid w:val="006263D1"/>
    <w:rsid w:val="0064705B"/>
    <w:rsid w:val="00655BBC"/>
    <w:rsid w:val="00685664"/>
    <w:rsid w:val="006E1099"/>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44F98"/>
    <w:rsid w:val="009550B8"/>
    <w:rsid w:val="00961772"/>
    <w:rsid w:val="00962356"/>
    <w:rsid w:val="00964841"/>
    <w:rsid w:val="0097293F"/>
    <w:rsid w:val="00993BD6"/>
    <w:rsid w:val="009A746C"/>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AF446B"/>
    <w:rsid w:val="00B03BAF"/>
    <w:rsid w:val="00B03E55"/>
    <w:rsid w:val="00B11E40"/>
    <w:rsid w:val="00B61890"/>
    <w:rsid w:val="00B65545"/>
    <w:rsid w:val="00B83007"/>
    <w:rsid w:val="00BE2270"/>
    <w:rsid w:val="00C037DB"/>
    <w:rsid w:val="00C676B2"/>
    <w:rsid w:val="00C93395"/>
    <w:rsid w:val="00CB37B4"/>
    <w:rsid w:val="00CB632E"/>
    <w:rsid w:val="00CC5350"/>
    <w:rsid w:val="00CE2CF8"/>
    <w:rsid w:val="00CF4E87"/>
    <w:rsid w:val="00D20C5C"/>
    <w:rsid w:val="00D235EF"/>
    <w:rsid w:val="00D27A61"/>
    <w:rsid w:val="00D4312B"/>
    <w:rsid w:val="00D566D8"/>
    <w:rsid w:val="00D65C9C"/>
    <w:rsid w:val="00D96E07"/>
    <w:rsid w:val="00DA0844"/>
    <w:rsid w:val="00DC07B8"/>
    <w:rsid w:val="00DC32FF"/>
    <w:rsid w:val="00DD3B60"/>
    <w:rsid w:val="00DE7AF4"/>
    <w:rsid w:val="00E036A9"/>
    <w:rsid w:val="00E22334"/>
    <w:rsid w:val="00E23B7A"/>
    <w:rsid w:val="00E541C2"/>
    <w:rsid w:val="00EA5663"/>
    <w:rsid w:val="00EA79C0"/>
    <w:rsid w:val="00EC11B3"/>
    <w:rsid w:val="00EC4110"/>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EF63-AB36-4292-A4A8-D5FFF50B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11</cp:revision>
  <cp:lastPrinted>2013-12-03T11:51:00Z</cp:lastPrinted>
  <dcterms:created xsi:type="dcterms:W3CDTF">2015-05-01T14:48:00Z</dcterms:created>
  <dcterms:modified xsi:type="dcterms:W3CDTF">2015-05-22T16:49:00Z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