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2B4CB0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1E7453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C08E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76306F" w:rsidRPr="00094BA1" w:rsidRDefault="0076306F" w:rsidP="0076306F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Titel des Versuchs: </w:t>
      </w:r>
      <w:r>
        <w:rPr>
          <w:rFonts w:ascii="Verdana" w:hAnsi="Verdana"/>
          <w:b/>
        </w:rPr>
        <w:tab/>
        <w:t xml:space="preserve">Zuckernachweisreaktionen: Teil 1 </w:t>
      </w:r>
      <w:r w:rsidR="0088221E">
        <w:rPr>
          <w:rFonts w:ascii="Verdana" w:hAnsi="Verdana"/>
          <w:b/>
        </w:rPr>
        <w:t>(</w:t>
      </w:r>
      <w:r>
        <w:rPr>
          <w:rFonts w:ascii="Verdana" w:hAnsi="Verdana"/>
          <w:b/>
        </w:rPr>
        <w:t>3.8.a</w:t>
      </w:r>
      <w:r w:rsidR="0088221E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90B59">
        <w:rPr>
          <w:rFonts w:ascii="Verdana" w:hAnsi="Verdana"/>
          <w:b/>
        </w:rPr>
        <w:t>105</w:t>
      </w:r>
    </w:p>
    <w:p w:rsidR="00624D80" w:rsidRDefault="004C08E9">
      <w:pPr>
        <w:rPr>
          <w:rFonts w:ascii="Arial" w:hAnsi="Arial"/>
          <w:sz w:val="24"/>
        </w:rPr>
      </w:pPr>
      <w:r w:rsidRPr="004C08E9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1.5pt;margin-top:10.2pt;width:23.85pt;height:23.05pt;z-index:251661312" o:allowincell="f">
            <v:textbox style="mso-next-textbox:#_x0000_s1078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C08E9">
        <w:rPr>
          <w:rFonts w:ascii="Arial" w:hAnsi="Arial"/>
          <w:b/>
          <w:noProof/>
          <w:lang w:val="de-CH"/>
        </w:rPr>
        <w:pict>
          <v:shape id="_x0000_s1077" type="#_x0000_t202" style="position:absolute;margin-left:264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C08E9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290B5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134"/>
        <w:gridCol w:w="1417"/>
        <w:gridCol w:w="1560"/>
        <w:gridCol w:w="1643"/>
      </w:tblGrid>
      <w:tr w:rsidR="00A1039B" w:rsidTr="001E7453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417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290B59" w:rsidRPr="00BB270F" w:rsidTr="001E7453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290B59" w:rsidRPr="001E7453" w:rsidRDefault="00290B59" w:rsidP="00172BE2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Kupfersulfat-</w:t>
            </w:r>
          </w:p>
          <w:p w:rsidR="00290B59" w:rsidRPr="001E7453" w:rsidRDefault="00290B59" w:rsidP="00172BE2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 xml:space="preserve">lösung  </w:t>
            </w:r>
          </w:p>
          <w:p w:rsidR="00290B59" w:rsidRPr="00033DC4" w:rsidRDefault="00290B59" w:rsidP="00172BE2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033DC4">
              <w:rPr>
                <w:rFonts w:ascii="Verdana" w:hAnsi="Verdana"/>
                <w:b w:val="0"/>
                <w:sz w:val="18"/>
                <w:szCs w:val="18"/>
              </w:rPr>
              <w:t>(w = 5%)</w:t>
            </w:r>
          </w:p>
        </w:tc>
        <w:tc>
          <w:tcPr>
            <w:tcW w:w="1276" w:type="dxa"/>
          </w:tcPr>
          <w:p w:rsidR="00290B59" w:rsidRPr="001E7453" w:rsidRDefault="00290B59" w:rsidP="00172BE2">
            <w:pPr>
              <w:cnfStyle w:val="000000100000"/>
              <w:rPr>
                <w:rFonts w:ascii="Verdana" w:hAnsi="Verdana"/>
                <w:color w:val="7030A0"/>
              </w:rPr>
            </w:pPr>
            <w:r w:rsidRPr="001E7453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290B59" w:rsidRPr="008C30B4" w:rsidRDefault="00290B59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258824</wp:posOffset>
                  </wp:positionH>
                  <wp:positionV relativeFrom="margin">
                    <wp:posOffset>96320</wp:posOffset>
                  </wp:positionV>
                  <wp:extent cx="320239" cy="320723"/>
                  <wp:effectExtent l="19050" t="0" r="3611" b="0"/>
                  <wp:wrapNone/>
                  <wp:docPr id="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90B59" w:rsidRDefault="00290B59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</w:t>
            </w:r>
            <w:r w:rsidR="0012488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90B59" w:rsidRDefault="00290B59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90B59" w:rsidRDefault="00290B59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290B59" w:rsidRDefault="00290B59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P391</w:t>
            </w:r>
          </w:p>
          <w:p w:rsidR="001E7453" w:rsidRDefault="001E7453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643" w:type="dxa"/>
          </w:tcPr>
          <w:p w:rsidR="00290B59" w:rsidRDefault="00290B59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2488D" w:rsidRPr="007675D1" w:rsidTr="001E7453">
        <w:trPr>
          <w:trHeight w:val="794"/>
        </w:trPr>
        <w:tc>
          <w:tcPr>
            <w:cnfStyle w:val="001000000000"/>
            <w:tcW w:w="2093" w:type="dxa"/>
          </w:tcPr>
          <w:p w:rsidR="00290B59" w:rsidRPr="001E7453" w:rsidRDefault="00290B59" w:rsidP="007675D1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Natronlauge konz.</w:t>
            </w:r>
          </w:p>
          <w:p w:rsidR="00290B59" w:rsidRPr="00033DC4" w:rsidRDefault="00290B59" w:rsidP="007675D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033DC4">
              <w:rPr>
                <w:rFonts w:ascii="Verdana" w:hAnsi="Verdana"/>
                <w:b w:val="0"/>
                <w:sz w:val="18"/>
                <w:szCs w:val="18"/>
              </w:rPr>
              <w:t>(Natriumhydroxid-</w:t>
            </w:r>
          </w:p>
          <w:p w:rsidR="00290B59" w:rsidRPr="007675D1" w:rsidRDefault="00290B59" w:rsidP="007675D1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33DC4">
              <w:rPr>
                <w:rFonts w:ascii="Verdana" w:hAnsi="Verdana"/>
                <w:b w:val="0"/>
                <w:sz w:val="18"/>
                <w:szCs w:val="18"/>
              </w:rPr>
              <w:t>Lösung w = 32%)</w:t>
            </w:r>
          </w:p>
        </w:tc>
        <w:tc>
          <w:tcPr>
            <w:tcW w:w="1276" w:type="dxa"/>
          </w:tcPr>
          <w:p w:rsidR="007675D1" w:rsidRPr="001E7453" w:rsidRDefault="00290B59" w:rsidP="00290B59">
            <w:pPr>
              <w:cnfStyle w:val="0000000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7675D1" w:rsidRPr="007675D1" w:rsidRDefault="001E7453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254445</wp:posOffset>
                  </wp:positionH>
                  <wp:positionV relativeFrom="margin">
                    <wp:posOffset>90275</wp:posOffset>
                  </wp:positionV>
                  <wp:extent cx="315320" cy="320722"/>
                  <wp:effectExtent l="19050" t="0" r="8530" b="0"/>
                  <wp:wrapNone/>
                  <wp:docPr id="1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7675D1" w:rsidRPr="007675D1" w:rsidRDefault="00290B59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1417" w:type="dxa"/>
          </w:tcPr>
          <w:p w:rsidR="007675D1" w:rsidRPr="007675D1" w:rsidRDefault="00290B59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7675D1" w:rsidRDefault="00290B59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P308+310</w:t>
            </w:r>
          </w:p>
          <w:p w:rsidR="00290B59" w:rsidRDefault="00290B59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290B59" w:rsidRPr="007675D1" w:rsidRDefault="00290B59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7675D1" w:rsidRPr="007675D1" w:rsidRDefault="00290B59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2488D" w:rsidRPr="00BB270F" w:rsidTr="001E7453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12488D" w:rsidRPr="001E7453" w:rsidRDefault="0012488D" w:rsidP="00172BE2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Fehling-Lösung I</w:t>
            </w:r>
          </w:p>
        </w:tc>
        <w:tc>
          <w:tcPr>
            <w:tcW w:w="1276" w:type="dxa"/>
          </w:tcPr>
          <w:p w:rsidR="0012488D" w:rsidRPr="001E7453" w:rsidRDefault="0012488D" w:rsidP="00172BE2">
            <w:pPr>
              <w:cnfStyle w:val="000000100000"/>
              <w:rPr>
                <w:rFonts w:ascii="Verdana" w:hAnsi="Verdana"/>
                <w:color w:val="7030A0"/>
              </w:rPr>
            </w:pPr>
            <w:r w:rsidRPr="001E7453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12488D" w:rsidRPr="008C30B4" w:rsidRDefault="0012488D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258824</wp:posOffset>
                  </wp:positionH>
                  <wp:positionV relativeFrom="margin">
                    <wp:posOffset>96320</wp:posOffset>
                  </wp:positionV>
                  <wp:extent cx="320239" cy="320723"/>
                  <wp:effectExtent l="19050" t="0" r="3611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12488D" w:rsidRDefault="0012488D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</w:t>
            </w:r>
            <w:r w:rsidR="001E745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2488D" w:rsidRDefault="0012488D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12488D" w:rsidRDefault="0012488D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12488D" w:rsidRDefault="0012488D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P391</w:t>
            </w:r>
          </w:p>
          <w:p w:rsidR="001E7453" w:rsidRDefault="001E7453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643" w:type="dxa"/>
          </w:tcPr>
          <w:p w:rsidR="0012488D" w:rsidRDefault="0012488D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2488D" w:rsidRPr="00BB270F" w:rsidTr="001E7453">
        <w:trPr>
          <w:trHeight w:val="794"/>
        </w:trPr>
        <w:tc>
          <w:tcPr>
            <w:cnfStyle w:val="001000000000"/>
            <w:tcW w:w="2093" w:type="dxa"/>
          </w:tcPr>
          <w:p w:rsidR="0012488D" w:rsidRPr="001E7453" w:rsidRDefault="0012488D" w:rsidP="00172BE2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Fehling-Lösung II</w:t>
            </w:r>
          </w:p>
        </w:tc>
        <w:tc>
          <w:tcPr>
            <w:tcW w:w="1276" w:type="dxa"/>
          </w:tcPr>
          <w:p w:rsidR="0012488D" w:rsidRPr="001E7453" w:rsidRDefault="0012488D" w:rsidP="00172BE2">
            <w:pPr>
              <w:cnfStyle w:val="0000000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2488D" w:rsidRPr="008C30B4" w:rsidRDefault="0012488D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79375</wp:posOffset>
                  </wp:positionV>
                  <wp:extent cx="317500" cy="320675"/>
                  <wp:effectExtent l="19050" t="0" r="6350" b="0"/>
                  <wp:wrapNone/>
                  <wp:docPr id="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12488D" w:rsidRDefault="001E7453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12488D"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1417" w:type="dxa"/>
          </w:tcPr>
          <w:p w:rsidR="0012488D" w:rsidRDefault="0012488D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12488D" w:rsidRDefault="0012488D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</w:t>
            </w:r>
            <w:r w:rsidR="002B4CB0">
              <w:rPr>
                <w:rFonts w:ascii="Verdana" w:hAnsi="Verdana"/>
                <w:sz w:val="16"/>
                <w:szCs w:val="16"/>
              </w:rPr>
              <w:t>308+</w:t>
            </w:r>
            <w:r>
              <w:rPr>
                <w:rFonts w:ascii="Verdana" w:hAnsi="Verdana"/>
                <w:sz w:val="16"/>
                <w:szCs w:val="16"/>
              </w:rPr>
              <w:t>310</w:t>
            </w:r>
          </w:p>
          <w:p w:rsidR="001E7453" w:rsidRDefault="001E7453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12488D" w:rsidRDefault="0012488D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12488D" w:rsidRDefault="0012488D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C3E18" w:rsidRPr="00171B77" w:rsidTr="001E7453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4C3E18" w:rsidRPr="001E7453" w:rsidRDefault="004C3E18" w:rsidP="00004282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Kupfer(I)oxid</w:t>
            </w:r>
          </w:p>
          <w:p w:rsidR="004C3E18" w:rsidRPr="0088221E" w:rsidRDefault="004C3E18" w:rsidP="00004282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88221E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276" w:type="dxa"/>
          </w:tcPr>
          <w:p w:rsidR="004C3E18" w:rsidRPr="001E7453" w:rsidRDefault="004C3E18" w:rsidP="00004282">
            <w:pPr>
              <w:cnfStyle w:val="0000001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C3E18" w:rsidRPr="00171B77" w:rsidRDefault="001E7453" w:rsidP="00004282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74930</wp:posOffset>
                  </wp:positionV>
                  <wp:extent cx="319405" cy="320675"/>
                  <wp:effectExtent l="19050" t="0" r="4445" b="0"/>
                  <wp:wrapNone/>
                  <wp:docPr id="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3E18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73025</wp:posOffset>
                  </wp:positionV>
                  <wp:extent cx="321945" cy="323850"/>
                  <wp:effectExtent l="19050" t="0" r="1905" b="0"/>
                  <wp:wrapNone/>
                  <wp:docPr id="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C3E18" w:rsidRPr="00171B77" w:rsidRDefault="004C3E18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1417" w:type="dxa"/>
          </w:tcPr>
          <w:p w:rsidR="004C3E18" w:rsidRPr="00171B77" w:rsidRDefault="004C3E18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C3E18" w:rsidRDefault="004C3E18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P270</w:t>
            </w:r>
            <w:r w:rsidR="001E7453">
              <w:rPr>
                <w:rFonts w:ascii="Verdana" w:hAnsi="Verdana"/>
                <w:sz w:val="16"/>
                <w:szCs w:val="16"/>
              </w:rPr>
              <w:t xml:space="preserve"> P273</w:t>
            </w:r>
          </w:p>
          <w:p w:rsidR="004C3E18" w:rsidRPr="00171B77" w:rsidRDefault="004C3E18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P301+312 P330 P501</w:t>
            </w:r>
          </w:p>
        </w:tc>
        <w:tc>
          <w:tcPr>
            <w:tcW w:w="1643" w:type="dxa"/>
          </w:tcPr>
          <w:p w:rsidR="004C3E18" w:rsidRPr="00171B77" w:rsidRDefault="004C3E18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7675D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Kristallzucker (Saccharose)</w:t>
            </w:r>
          </w:p>
        </w:tc>
      </w:tr>
      <w:tr w:rsidR="0012488D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12488D" w:rsidRDefault="0012488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Traubenzucker (Glucose)</w:t>
            </w:r>
          </w:p>
        </w:tc>
      </w:tr>
      <w:tr w:rsidR="0012488D" w:rsidTr="006133D7">
        <w:trPr>
          <w:trHeight w:val="454"/>
        </w:trPr>
        <w:tc>
          <w:tcPr>
            <w:cnfStyle w:val="001000000000"/>
            <w:tcW w:w="10606" w:type="dxa"/>
          </w:tcPr>
          <w:p w:rsidR="0012488D" w:rsidRDefault="0012488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Fruchtzucker (Fructose)</w:t>
            </w:r>
          </w:p>
        </w:tc>
      </w:tr>
      <w:tr w:rsidR="0012488D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12488D" w:rsidRDefault="0012488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Kalium-Natrium-Tartrat (Seignette-Salz)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12488D" w:rsidRDefault="0012488D" w:rsidP="0012488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t>Man versetzt in einem</w:t>
      </w:r>
      <w:r w:rsidRPr="0083148A">
        <w:rPr>
          <w:rFonts w:ascii="Verdana" w:hAnsi="Verdana" w:cs="Shruti"/>
          <w:i/>
          <w:lang w:val="de-CH"/>
        </w:rPr>
        <w:t xml:space="preserve"> Vorversuch eine </w:t>
      </w:r>
      <w:r>
        <w:rPr>
          <w:rFonts w:ascii="Verdana" w:hAnsi="Verdana" w:cs="Shruti"/>
          <w:i/>
          <w:lang w:val="de-CH"/>
        </w:rPr>
        <w:t xml:space="preserve">5%ige </w:t>
      </w:r>
      <w:r w:rsidRPr="0083148A">
        <w:rPr>
          <w:rFonts w:ascii="Verdana" w:hAnsi="Verdana" w:cs="Shruti"/>
          <w:i/>
          <w:lang w:val="de-CH"/>
        </w:rPr>
        <w:t xml:space="preserve">Kupfersulfatlösung mit konzentrierter Natronlauge und zeigt, dass sich ein hellblauer, gallertiger, voluminöser Niederschlag bildet. Dann nimmt man eine </w:t>
      </w:r>
      <w:r>
        <w:rPr>
          <w:rFonts w:ascii="Verdana" w:hAnsi="Verdana" w:cs="Shruti"/>
          <w:i/>
          <w:lang w:val="de-CH"/>
        </w:rPr>
        <w:t xml:space="preserve">5%ige </w:t>
      </w:r>
      <w:r w:rsidRPr="0083148A">
        <w:rPr>
          <w:rFonts w:ascii="Verdana" w:hAnsi="Verdana" w:cs="Shruti"/>
          <w:i/>
          <w:lang w:val="de-CH"/>
        </w:rPr>
        <w:t>Kupfersulfatlösung, die man zusätzlich mit Kalium-Natriumtartrat (Seignet</w:t>
      </w:r>
      <w:r>
        <w:rPr>
          <w:rFonts w:ascii="Verdana" w:hAnsi="Verdana" w:cs="Shruti"/>
          <w:i/>
          <w:lang w:val="de-CH"/>
        </w:rPr>
        <w:t>te-Salz)</w:t>
      </w:r>
      <w:r w:rsidRPr="0083148A">
        <w:rPr>
          <w:rFonts w:ascii="Verdana" w:hAnsi="Verdana" w:cs="Shruti"/>
          <w:i/>
          <w:lang w:val="de-CH"/>
        </w:rPr>
        <w:t xml:space="preserve"> versetzt und gibt wieder konzentrierte Natronlauge hinein; im Gegensatz zum ersten Ansatz färbt sich die Lösung dunkelblau und bleibt klar. </w:t>
      </w:r>
    </w:p>
    <w:p w:rsidR="0012488D" w:rsidRPr="0083148A" w:rsidRDefault="0012488D" w:rsidP="0012488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lastRenderedPageBreak/>
        <w:t>Nun werden</w:t>
      </w:r>
      <w:r w:rsidRPr="0083148A">
        <w:rPr>
          <w:rFonts w:ascii="Verdana" w:hAnsi="Verdana" w:cs="Shruti"/>
          <w:i/>
          <w:lang w:val="de-CH"/>
        </w:rPr>
        <w:t xml:space="preserve"> die beiden Fehling Lösung</w:t>
      </w:r>
      <w:r>
        <w:rPr>
          <w:rFonts w:ascii="Verdana" w:hAnsi="Verdana" w:cs="Shruti"/>
          <w:i/>
          <w:lang w:val="de-CH"/>
        </w:rPr>
        <w:t xml:space="preserve">en </w:t>
      </w:r>
      <w:r w:rsidRPr="0083148A">
        <w:rPr>
          <w:rFonts w:ascii="Verdana" w:hAnsi="Verdana" w:cs="Shruti"/>
          <w:i/>
          <w:lang w:val="de-CH"/>
        </w:rPr>
        <w:t xml:space="preserve"> im Verhältnis 1:1 in einem Reagenzglas mischen</w:t>
      </w:r>
      <w:r>
        <w:rPr>
          <w:rFonts w:ascii="Verdana" w:hAnsi="Verdana" w:cs="Shruti"/>
          <w:i/>
          <w:lang w:val="de-CH"/>
        </w:rPr>
        <w:t xml:space="preserve"> (=Fehling Reagenz)</w:t>
      </w:r>
      <w:r w:rsidR="00703A72">
        <w:rPr>
          <w:rFonts w:ascii="Verdana" w:hAnsi="Verdana" w:cs="Shruti"/>
          <w:i/>
          <w:lang w:val="de-CH"/>
        </w:rPr>
        <w:t xml:space="preserve"> und erhitzen</w:t>
      </w:r>
      <w:r w:rsidRPr="0083148A">
        <w:rPr>
          <w:rFonts w:ascii="Verdana" w:hAnsi="Verdana" w:cs="Shruti"/>
          <w:i/>
          <w:lang w:val="de-CH"/>
        </w:rPr>
        <w:t>. Die Lösung ve</w:t>
      </w:r>
      <w:r>
        <w:rPr>
          <w:rFonts w:ascii="Verdana" w:hAnsi="Verdana" w:cs="Shruti"/>
          <w:i/>
          <w:lang w:val="de-CH"/>
        </w:rPr>
        <w:t>rändert sich nicht. Nun wird das Fehling Reagenz</w:t>
      </w:r>
      <w:r w:rsidRPr="0083148A">
        <w:rPr>
          <w:rFonts w:ascii="Verdana" w:hAnsi="Verdana" w:cs="Shruti"/>
          <w:i/>
          <w:lang w:val="de-CH"/>
        </w:rPr>
        <w:t xml:space="preserve"> mit einer Traubenzuckerlösung (Glucose) versetzt und wieder erhitzt. Sehr rasch ist die Ro</w:t>
      </w:r>
      <w:r w:rsidR="00703A72">
        <w:rPr>
          <w:rFonts w:ascii="Verdana" w:hAnsi="Verdana" w:cs="Shruti"/>
          <w:i/>
          <w:lang w:val="de-CH"/>
        </w:rPr>
        <w:t>tfärbung</w:t>
      </w:r>
      <w:r w:rsidRPr="0083148A">
        <w:rPr>
          <w:rFonts w:ascii="Verdana" w:hAnsi="Verdana" w:cs="Shruti"/>
          <w:i/>
          <w:lang w:val="de-CH"/>
        </w:rPr>
        <w:t xml:space="preserve"> zu beo</w:t>
      </w:r>
      <w:r w:rsidR="00703A72">
        <w:rPr>
          <w:rFonts w:ascii="Verdana" w:hAnsi="Verdana" w:cs="Shruti"/>
          <w:i/>
          <w:lang w:val="de-CH"/>
        </w:rPr>
        <w:t>bachten, ein ziegelroter</w:t>
      </w:r>
      <w:r w:rsidRPr="0083148A">
        <w:rPr>
          <w:rFonts w:ascii="Verdana" w:hAnsi="Verdana" w:cs="Shruti"/>
          <w:i/>
          <w:lang w:val="de-CH"/>
        </w:rPr>
        <w:t xml:space="preserve"> Niederschlag setzt sich beim Stehen lassen ab. </w:t>
      </w:r>
    </w:p>
    <w:p w:rsidR="0012488D" w:rsidRPr="0083148A" w:rsidRDefault="0012488D" w:rsidP="0012488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83148A">
        <w:rPr>
          <w:rFonts w:ascii="Verdana" w:hAnsi="Verdana" w:cs="Shruti"/>
          <w:i/>
          <w:lang w:val="de-CH"/>
        </w:rPr>
        <w:t xml:space="preserve">Die Fehlingprobe mit wird einer Fruchtzuckerlösung wiederholt. </w:t>
      </w:r>
    </w:p>
    <w:p w:rsidR="0012488D" w:rsidRPr="0083148A" w:rsidRDefault="0012488D" w:rsidP="0012488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83148A">
        <w:rPr>
          <w:rFonts w:ascii="Verdana" w:hAnsi="Verdana" w:cs="Shruti"/>
          <w:i/>
          <w:lang w:val="de-CH"/>
        </w:rPr>
        <w:t>Die Fehlingprobe wird mit Rohrzucker (Kristallzucker, Saccharose) wiederholt; diese ver</w:t>
      </w:r>
      <w:r w:rsidR="00703A72">
        <w:rPr>
          <w:rFonts w:ascii="Verdana" w:hAnsi="Verdana" w:cs="Shruti"/>
          <w:i/>
          <w:lang w:val="de-CH"/>
        </w:rPr>
        <w:t>läuft</w:t>
      </w:r>
      <w:r w:rsidRPr="0083148A">
        <w:rPr>
          <w:rFonts w:ascii="Verdana" w:hAnsi="Verdana" w:cs="Shruti"/>
          <w:i/>
          <w:lang w:val="de-CH"/>
        </w:rPr>
        <w:t xml:space="preserve"> negativ. </w:t>
      </w:r>
    </w:p>
    <w:p w:rsidR="00AA3947" w:rsidRPr="00056547" w:rsidRDefault="00AA3947" w:rsidP="00AA3947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</w:p>
    <w:p w:rsidR="008C7699" w:rsidRPr="009973E1" w:rsidRDefault="008C7699">
      <w:pPr>
        <w:rPr>
          <w:rFonts w:ascii="Arial" w:hAnsi="Arial"/>
          <w:lang w:val="de-CH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703A72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Achtung bei der Fehling-Probe: sehr leicht vollzieht sich ein Siedeverzug; Reagenzglasöffnung von Personen wegrichten.</w:t>
      </w:r>
    </w:p>
    <w:p w:rsidR="003E34EF" w:rsidRDefault="003E34EF" w:rsidP="008C7699">
      <w:pPr>
        <w:rPr>
          <w:rFonts w:ascii="Verdana" w:hAnsi="Verdana"/>
          <w:i/>
        </w:rPr>
      </w:pPr>
    </w:p>
    <w:p w:rsidR="009973E1" w:rsidRDefault="009973E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3E34EF" w:rsidRDefault="004C3E18">
      <w:pPr>
        <w:rPr>
          <w:rFonts w:ascii="Verdana" w:hAnsi="Verdana"/>
          <w:i/>
        </w:rPr>
      </w:pPr>
      <w:r>
        <w:rPr>
          <w:rFonts w:ascii="Verdana" w:hAnsi="Verdana"/>
          <w:i/>
        </w:rPr>
        <w:t>Ansätze</w:t>
      </w:r>
      <w:r w:rsidR="00703A72">
        <w:rPr>
          <w:rFonts w:ascii="Verdana" w:hAnsi="Verdana"/>
          <w:i/>
        </w:rPr>
        <w:t xml:space="preserve"> (alkalisch) in den Sammelbehälter </w:t>
      </w:r>
      <w:r>
        <w:rPr>
          <w:rFonts w:ascii="Verdana" w:hAnsi="Verdana"/>
          <w:i/>
        </w:rPr>
        <w:t>"</w:t>
      </w:r>
      <w:r w:rsidR="00703A72">
        <w:rPr>
          <w:rFonts w:ascii="Verdana" w:hAnsi="Verdana"/>
          <w:i/>
        </w:rPr>
        <w:t>anorganische Abfälle</w:t>
      </w:r>
      <w:r>
        <w:rPr>
          <w:rFonts w:ascii="Verdana" w:hAnsi="Verdana"/>
          <w:i/>
        </w:rPr>
        <w:t>"</w:t>
      </w:r>
      <w:r w:rsidR="00703A72">
        <w:rPr>
          <w:rFonts w:ascii="Verdana" w:hAnsi="Verdana"/>
          <w:i/>
        </w:rPr>
        <w:t xml:space="preserve"> (Saure und alkalische Abfälle, Schwermetallabfälle).</w:t>
      </w:r>
    </w:p>
    <w:p w:rsidR="00C12FA4" w:rsidRDefault="00C12FA4">
      <w:pPr>
        <w:rPr>
          <w:rFonts w:ascii="Verdana" w:hAnsi="Verdana"/>
          <w:i/>
        </w:rPr>
      </w:pPr>
    </w:p>
    <w:p w:rsidR="00DA7686" w:rsidRPr="003E34EF" w:rsidRDefault="00DA7686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7675D1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3E34E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AA394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3E34EF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 w:rsidRPr="00AA394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DE257D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AA3947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1E7453" w:rsidRDefault="001E745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3307715</wp:posOffset>
            </wp:positionH>
            <wp:positionV relativeFrom="margin">
              <wp:posOffset>5875655</wp:posOffset>
            </wp:positionV>
            <wp:extent cx="387350" cy="402590"/>
            <wp:effectExtent l="19050" t="0" r="0" b="0"/>
            <wp:wrapNone/>
            <wp:docPr id="16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1376680</wp:posOffset>
            </wp:positionH>
            <wp:positionV relativeFrom="margin">
              <wp:posOffset>5875655</wp:posOffset>
            </wp:positionV>
            <wp:extent cx="390525" cy="402590"/>
            <wp:effectExtent l="19050" t="0" r="952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9973E1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Schutzbrille                  Schutzhandschuhe</w:t>
      </w:r>
    </w:p>
    <w:p w:rsidR="00703A72" w:rsidRDefault="00703A72">
      <w:pPr>
        <w:rPr>
          <w:rFonts w:ascii="Verdana" w:hAnsi="Verdana"/>
          <w:i/>
        </w:rPr>
      </w:pPr>
    </w:p>
    <w:p w:rsidR="00703A72" w:rsidRPr="003E34EF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1E7453" w:rsidRDefault="001E7453">
      <w:pPr>
        <w:rPr>
          <w:rFonts w:ascii="Verdana" w:hAnsi="Verdana"/>
          <w:b/>
        </w:rPr>
      </w:pPr>
    </w:p>
    <w:p w:rsidR="00AA3947" w:rsidRDefault="00AA3947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A33993" w:rsidRPr="00A33993" w:rsidRDefault="00703A72">
      <w:pPr>
        <w:rPr>
          <w:rFonts w:ascii="Arial" w:hAnsi="Arial"/>
        </w:rPr>
      </w:pPr>
      <w:r>
        <w:rPr>
          <w:rFonts w:ascii="Verdana" w:hAnsi="Verdana"/>
          <w:i/>
        </w:rPr>
        <w:t xml:space="preserve">Durchgeführt; dennoch wird auf die Fehlingprobe wegen der einfachen Durchschaubarkeit der Reaktion als einfacher Zuckernachweis nicht verzichtet. </w:t>
      </w:r>
      <w:r w:rsidR="00A220AA">
        <w:rPr>
          <w:rFonts w:ascii="Verdana" w:hAnsi="Verdana"/>
          <w:i/>
        </w:rPr>
        <w:t>Standardexperiment mit beherrschbaren Risiken.</w:t>
      </w:r>
    </w:p>
    <w:p w:rsidR="00624D80" w:rsidRDefault="00624D80">
      <w:pPr>
        <w:rPr>
          <w:rFonts w:ascii="Arial" w:hAnsi="Arial"/>
          <w:sz w:val="24"/>
        </w:rPr>
      </w:pPr>
    </w:p>
    <w:p w:rsidR="00932122" w:rsidRDefault="00932122">
      <w:pPr>
        <w:rPr>
          <w:rFonts w:ascii="Arial" w:hAnsi="Arial"/>
          <w:sz w:val="24"/>
        </w:rPr>
      </w:pPr>
    </w:p>
    <w:p w:rsidR="00932122" w:rsidRDefault="00932122">
      <w:pPr>
        <w:rPr>
          <w:rFonts w:ascii="Arial" w:hAnsi="Arial"/>
          <w:sz w:val="24"/>
        </w:rPr>
      </w:pPr>
    </w:p>
    <w:p w:rsidR="00932122" w:rsidRDefault="00932122">
      <w:pPr>
        <w:rPr>
          <w:rFonts w:ascii="Arial" w:hAnsi="Arial"/>
          <w:sz w:val="24"/>
        </w:rPr>
      </w:pPr>
    </w:p>
    <w:p w:rsidR="00932122" w:rsidRDefault="00932122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  <w:b/>
        </w:rPr>
      </w:pPr>
    </w:p>
    <w:p w:rsidR="00DC32FF" w:rsidRDefault="002B4CB0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2B4CB0" w:rsidRPr="0088221E" w:rsidRDefault="002B4CB0">
      <w:pPr>
        <w:rPr>
          <w:rFonts w:ascii="Verdana" w:hAnsi="Verdana"/>
          <w:sz w:val="16"/>
          <w:szCs w:val="16"/>
          <w:lang w:val="de-CH"/>
        </w:rPr>
      </w:pP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932122">
        <w:rPr>
          <w:rFonts w:ascii="Verdana" w:hAnsi="Verdana"/>
          <w:sz w:val="16"/>
          <w:szCs w:val="16"/>
          <w:lang w:val="de-CH"/>
        </w:rPr>
        <w:t>H290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Kann gegenüber Metallen korrosiv sein.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 xml:space="preserve">H302 </w:t>
      </w:r>
      <w:r w:rsidR="00A220AA" w:rsidRPr="00932122">
        <w:rPr>
          <w:rFonts w:ascii="Verdana" w:hAnsi="Verdana"/>
          <w:sz w:val="16"/>
          <w:szCs w:val="16"/>
          <w:lang w:val="de-CH"/>
        </w:rPr>
        <w:tab/>
      </w:r>
      <w:r w:rsidR="00A220AA" w:rsidRPr="00932122">
        <w:rPr>
          <w:rFonts w:ascii="Verdana" w:hAnsi="Verdana"/>
          <w:sz w:val="16"/>
          <w:szCs w:val="16"/>
          <w:lang w:val="de-CH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H314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Verursacht schwere Verätzungen der Haut und schwere Augenschäden.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H410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Sehr giftig für Wasserorganismen, mit langfristiger Wirkung.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H411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Giftig für Wasserorganismen, mit langfristiger Wirkung.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2B4CB0" w:rsidRPr="0088221E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88221E">
        <w:rPr>
          <w:rFonts w:ascii="Verdana" w:hAnsi="Verdana"/>
          <w:i/>
          <w:sz w:val="16"/>
          <w:szCs w:val="16"/>
          <w:lang w:val="de-CH"/>
        </w:rPr>
        <w:t xml:space="preserve">P264 </w:t>
      </w:r>
      <w:r w:rsidR="00A220AA" w:rsidRPr="0088221E">
        <w:rPr>
          <w:rFonts w:ascii="Verdana" w:hAnsi="Verdana"/>
          <w:i/>
          <w:sz w:val="16"/>
          <w:szCs w:val="16"/>
          <w:lang w:val="de-CH"/>
        </w:rPr>
        <w:tab/>
      </w:r>
      <w:r w:rsidR="00A220AA" w:rsidRPr="0088221E">
        <w:rPr>
          <w:rFonts w:ascii="Verdana" w:hAnsi="Verdana"/>
          <w:i/>
          <w:sz w:val="16"/>
          <w:szCs w:val="16"/>
          <w:lang w:val="de-CH"/>
        </w:rPr>
        <w:tab/>
      </w:r>
      <w:r w:rsidR="00A220AA" w:rsidRPr="0088221E">
        <w:rPr>
          <w:rFonts w:ascii="Verdana" w:hAnsi="Verdana"/>
          <w:i/>
          <w:sz w:val="16"/>
          <w:szCs w:val="16"/>
          <w:lang w:eastAsia="zh-CN"/>
        </w:rPr>
        <w:t>Nach Handhabung Hände gründlich waschen.</w:t>
      </w:r>
    </w:p>
    <w:p w:rsidR="002B4CB0" w:rsidRPr="0088221E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88221E">
        <w:rPr>
          <w:rFonts w:ascii="Verdana" w:hAnsi="Verdana"/>
          <w:i/>
          <w:sz w:val="16"/>
          <w:szCs w:val="16"/>
          <w:lang w:val="de-CH"/>
        </w:rPr>
        <w:t xml:space="preserve">P270 </w:t>
      </w:r>
      <w:r w:rsidR="00A220AA" w:rsidRPr="0088221E">
        <w:rPr>
          <w:rFonts w:ascii="Verdana" w:hAnsi="Verdana"/>
          <w:i/>
          <w:sz w:val="16"/>
          <w:szCs w:val="16"/>
          <w:lang w:val="de-CH"/>
        </w:rPr>
        <w:tab/>
      </w:r>
      <w:r w:rsidR="00A220AA" w:rsidRPr="0088221E">
        <w:rPr>
          <w:rFonts w:ascii="Verdana" w:hAnsi="Verdana"/>
          <w:i/>
          <w:sz w:val="16"/>
          <w:szCs w:val="16"/>
          <w:lang w:val="de-CH"/>
        </w:rPr>
        <w:tab/>
      </w:r>
      <w:r w:rsidR="00A220AA" w:rsidRPr="0088221E">
        <w:rPr>
          <w:rFonts w:ascii="Verdana" w:hAnsi="Verdana"/>
          <w:i/>
          <w:sz w:val="16"/>
          <w:szCs w:val="16"/>
          <w:lang w:eastAsia="zh-CN"/>
        </w:rPr>
        <w:t>Bei Verwendung dieses Produkts nicht essen, trinken oder rauchen.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P273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Freisetzung in die Umwelt vermeiden.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P280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Schutzhandschuhe/Schutzkle</w:t>
      </w:r>
      <w:r w:rsidR="00D53C5B">
        <w:rPr>
          <w:rFonts w:ascii="Verdana" w:hAnsi="Verdana"/>
          <w:sz w:val="16"/>
          <w:szCs w:val="16"/>
          <w:lang w:eastAsia="zh-CN"/>
        </w:rPr>
        <w:t>idung/Augenschutz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P301+312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Bei Verschlucken: Bei Unwohlsei</w:t>
      </w:r>
      <w:r w:rsidR="0088221E">
        <w:rPr>
          <w:rFonts w:ascii="Verdana" w:hAnsi="Verdana"/>
          <w:sz w:val="16"/>
          <w:szCs w:val="16"/>
          <w:lang w:eastAsia="zh-CN"/>
        </w:rPr>
        <w:t>n Giftinformationszentrum/Arzt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32122">
        <w:rPr>
          <w:rFonts w:ascii="Verdana" w:hAnsi="Verdana"/>
          <w:sz w:val="16"/>
          <w:szCs w:val="16"/>
        </w:rPr>
        <w:t>P301+330+331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A220AA" w:rsidRPr="00932122" w:rsidRDefault="00A220AA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P303+361+353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  <w:t xml:space="preserve">Bei Berührung mit der Haut (oder dem Haar): Alle kontaminierten Kleidungsstücke sofort ausziehen. Haut mit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Wasser abwaschen/duschen.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32122">
        <w:rPr>
          <w:rFonts w:ascii="Verdana" w:hAnsi="Verdana"/>
          <w:sz w:val="16"/>
          <w:szCs w:val="16"/>
        </w:rPr>
        <w:t>P305+351+338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A220AA" w:rsidRPr="00932122" w:rsidRDefault="00A220AA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P308+310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  <w:t>Bei Exposition oder falls betroffen: Sofor</w:t>
      </w:r>
      <w:r w:rsidR="0088221E">
        <w:rPr>
          <w:rFonts w:ascii="Verdana" w:hAnsi="Verdana"/>
          <w:sz w:val="16"/>
          <w:szCs w:val="16"/>
          <w:lang w:eastAsia="zh-CN"/>
        </w:rPr>
        <w:t>t Giftinformationszentrum/Arzt</w:t>
      </w:r>
      <w:r w:rsidRPr="00932122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A220AA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P330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>Mund ausspülen.</w:t>
      </w:r>
      <w:r w:rsidRPr="00932122">
        <w:rPr>
          <w:rFonts w:ascii="Verdana" w:hAnsi="Verdana"/>
          <w:sz w:val="16"/>
          <w:szCs w:val="16"/>
          <w:lang w:val="de-CH"/>
        </w:rPr>
        <w:t xml:space="preserve"> </w:t>
      </w:r>
    </w:p>
    <w:p w:rsidR="00A220AA" w:rsidRPr="00932122" w:rsidRDefault="00A220AA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P391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Ausgetretene Mengen auffangen.</w:t>
      </w:r>
    </w:p>
    <w:p w:rsidR="002B4CB0" w:rsidRPr="00932122" w:rsidRDefault="002B4CB0" w:rsidP="0093212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P501</w:t>
      </w:r>
      <w:r w:rsidR="00A220AA"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</w:r>
      <w:r w:rsidR="00A220AA" w:rsidRPr="00932122">
        <w:rPr>
          <w:rFonts w:ascii="Verdana" w:hAnsi="Verdana"/>
          <w:sz w:val="16"/>
          <w:szCs w:val="16"/>
          <w:lang w:eastAsia="zh-CN"/>
        </w:rPr>
        <w:tab/>
        <w:t xml:space="preserve">Inhalt/Behälter Sondermüll </w:t>
      </w:r>
      <w:r w:rsidR="0088221E">
        <w:rPr>
          <w:rFonts w:ascii="Verdana" w:hAnsi="Verdana"/>
          <w:sz w:val="16"/>
          <w:szCs w:val="16"/>
          <w:lang w:eastAsia="zh-CN"/>
        </w:rPr>
        <w:t>zuführen oder nach ortsüblichen Vorgaben entsorgen</w:t>
      </w:r>
    </w:p>
    <w:p w:rsidR="007675D1" w:rsidRPr="00A220AA" w:rsidRDefault="007675D1">
      <w:pPr>
        <w:rPr>
          <w:rFonts w:ascii="Verdana" w:hAnsi="Verdana"/>
          <w:b/>
          <w:color w:val="0070C0"/>
        </w:rPr>
      </w:pPr>
    </w:p>
    <w:p w:rsidR="007675D1" w:rsidRDefault="007675D1">
      <w:pPr>
        <w:rPr>
          <w:rFonts w:ascii="Verdana" w:hAnsi="Verdana"/>
          <w:b/>
        </w:rPr>
      </w:pPr>
    </w:p>
    <w:p w:rsidR="007675D1" w:rsidRDefault="007675D1">
      <w:pPr>
        <w:rPr>
          <w:rFonts w:ascii="Verdana" w:hAnsi="Verdana"/>
          <w:b/>
        </w:rPr>
      </w:pPr>
    </w:p>
    <w:p w:rsidR="00703A72" w:rsidRDefault="00703A72">
      <w:pPr>
        <w:rPr>
          <w:rFonts w:ascii="Verdana" w:hAnsi="Verdana"/>
        </w:rPr>
      </w:pPr>
    </w:p>
    <w:p w:rsidR="00703A72" w:rsidRDefault="00703A72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A220AA" w:rsidRDefault="00A220AA">
      <w:pPr>
        <w:rPr>
          <w:rFonts w:ascii="Arial" w:hAnsi="Arial"/>
          <w:sz w:val="24"/>
        </w:rPr>
      </w:pPr>
    </w:p>
    <w:p w:rsidR="00A220AA" w:rsidRDefault="00A220AA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A220AA" w:rsidRDefault="00A220AA">
      <w:pPr>
        <w:rPr>
          <w:rFonts w:ascii="Verdana" w:hAnsi="Verdana"/>
        </w:rPr>
      </w:pPr>
    </w:p>
    <w:p w:rsidR="00A220AA" w:rsidRDefault="00A220AA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1E7453" w:rsidRDefault="001E7453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382839" w:rsidRDefault="00397845" w:rsidP="00703A7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382839" w:rsidP="00A220AA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A220AA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24" w:rsidRDefault="00D86824" w:rsidP="00015609">
      <w:r>
        <w:separator/>
      </w:r>
    </w:p>
  </w:endnote>
  <w:endnote w:type="continuationSeparator" w:id="0">
    <w:p w:rsidR="00D86824" w:rsidRDefault="00D8682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24" w:rsidRDefault="00D86824" w:rsidP="00015609">
      <w:r>
        <w:separator/>
      </w:r>
    </w:p>
  </w:footnote>
  <w:footnote w:type="continuationSeparator" w:id="0">
    <w:p w:rsidR="00D86824" w:rsidRDefault="00D86824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C08E9" w:rsidP="00015609">
    <w:pPr>
      <w:pStyle w:val="Kopfzeile"/>
      <w:tabs>
        <w:tab w:val="clear" w:pos="4536"/>
        <w:tab w:val="clear" w:pos="9072"/>
        <w:tab w:val="left" w:pos="8445"/>
      </w:tabs>
    </w:pPr>
    <w:r w:rsidRPr="004C08E9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C08E9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C08E9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33DC4"/>
    <w:rsid w:val="00051F72"/>
    <w:rsid w:val="00094BA1"/>
    <w:rsid w:val="000B16C1"/>
    <w:rsid w:val="000B2DFF"/>
    <w:rsid w:val="000D37C8"/>
    <w:rsid w:val="001005CA"/>
    <w:rsid w:val="00112DC4"/>
    <w:rsid w:val="0012488D"/>
    <w:rsid w:val="00142B91"/>
    <w:rsid w:val="001653C7"/>
    <w:rsid w:val="00173ECE"/>
    <w:rsid w:val="001A6020"/>
    <w:rsid w:val="001C32D5"/>
    <w:rsid w:val="001E1C19"/>
    <w:rsid w:val="001E2122"/>
    <w:rsid w:val="001E53A7"/>
    <w:rsid w:val="001E7453"/>
    <w:rsid w:val="00221ED2"/>
    <w:rsid w:val="0024642C"/>
    <w:rsid w:val="00260D73"/>
    <w:rsid w:val="00290B59"/>
    <w:rsid w:val="002B4CB0"/>
    <w:rsid w:val="002C5539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B3899"/>
    <w:rsid w:val="003C6E9E"/>
    <w:rsid w:val="003D1449"/>
    <w:rsid w:val="003E34EF"/>
    <w:rsid w:val="0041466B"/>
    <w:rsid w:val="004351D4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C08E9"/>
    <w:rsid w:val="004C3E18"/>
    <w:rsid w:val="00503450"/>
    <w:rsid w:val="0051312D"/>
    <w:rsid w:val="00523D26"/>
    <w:rsid w:val="00542A1D"/>
    <w:rsid w:val="005643F9"/>
    <w:rsid w:val="005A207F"/>
    <w:rsid w:val="005A4729"/>
    <w:rsid w:val="005C163C"/>
    <w:rsid w:val="005D57C4"/>
    <w:rsid w:val="005E2480"/>
    <w:rsid w:val="006133D7"/>
    <w:rsid w:val="00624D80"/>
    <w:rsid w:val="006263D1"/>
    <w:rsid w:val="006279BC"/>
    <w:rsid w:val="00655BBC"/>
    <w:rsid w:val="006E15FF"/>
    <w:rsid w:val="006E514C"/>
    <w:rsid w:val="006F371F"/>
    <w:rsid w:val="006F5584"/>
    <w:rsid w:val="00703A72"/>
    <w:rsid w:val="0070507A"/>
    <w:rsid w:val="0071582C"/>
    <w:rsid w:val="007423E0"/>
    <w:rsid w:val="00751ABE"/>
    <w:rsid w:val="0076306F"/>
    <w:rsid w:val="00765A51"/>
    <w:rsid w:val="00765C0E"/>
    <w:rsid w:val="007675D1"/>
    <w:rsid w:val="0078017E"/>
    <w:rsid w:val="007859D3"/>
    <w:rsid w:val="00794D19"/>
    <w:rsid w:val="00795230"/>
    <w:rsid w:val="007B7972"/>
    <w:rsid w:val="007D2515"/>
    <w:rsid w:val="007D295C"/>
    <w:rsid w:val="0080352E"/>
    <w:rsid w:val="00806A16"/>
    <w:rsid w:val="00812A15"/>
    <w:rsid w:val="00816966"/>
    <w:rsid w:val="008343F4"/>
    <w:rsid w:val="0085786A"/>
    <w:rsid w:val="00875E4E"/>
    <w:rsid w:val="0088221E"/>
    <w:rsid w:val="008830AE"/>
    <w:rsid w:val="008C4A27"/>
    <w:rsid w:val="008C595D"/>
    <w:rsid w:val="008C7699"/>
    <w:rsid w:val="008D16D1"/>
    <w:rsid w:val="008F4F72"/>
    <w:rsid w:val="00907BD8"/>
    <w:rsid w:val="009107D8"/>
    <w:rsid w:val="009253B0"/>
    <w:rsid w:val="00932122"/>
    <w:rsid w:val="009550B8"/>
    <w:rsid w:val="00962356"/>
    <w:rsid w:val="00964841"/>
    <w:rsid w:val="0097293F"/>
    <w:rsid w:val="00993BD6"/>
    <w:rsid w:val="009973E1"/>
    <w:rsid w:val="009B4CC7"/>
    <w:rsid w:val="009C67CA"/>
    <w:rsid w:val="009C7CC5"/>
    <w:rsid w:val="009D57AA"/>
    <w:rsid w:val="009D5943"/>
    <w:rsid w:val="009D6827"/>
    <w:rsid w:val="009F52EC"/>
    <w:rsid w:val="00A0420A"/>
    <w:rsid w:val="00A1039B"/>
    <w:rsid w:val="00A1642E"/>
    <w:rsid w:val="00A220AA"/>
    <w:rsid w:val="00A33993"/>
    <w:rsid w:val="00A426A3"/>
    <w:rsid w:val="00A505D4"/>
    <w:rsid w:val="00A6055C"/>
    <w:rsid w:val="00A70890"/>
    <w:rsid w:val="00A77634"/>
    <w:rsid w:val="00A8046D"/>
    <w:rsid w:val="00A91936"/>
    <w:rsid w:val="00AA3947"/>
    <w:rsid w:val="00AC37A7"/>
    <w:rsid w:val="00AC541B"/>
    <w:rsid w:val="00AC60B9"/>
    <w:rsid w:val="00AD05CB"/>
    <w:rsid w:val="00AE4E6E"/>
    <w:rsid w:val="00B00FA6"/>
    <w:rsid w:val="00B03BAF"/>
    <w:rsid w:val="00B03E55"/>
    <w:rsid w:val="00B1026B"/>
    <w:rsid w:val="00B11E40"/>
    <w:rsid w:val="00B61890"/>
    <w:rsid w:val="00B65545"/>
    <w:rsid w:val="00B70FA4"/>
    <w:rsid w:val="00B83007"/>
    <w:rsid w:val="00BE464B"/>
    <w:rsid w:val="00C037DB"/>
    <w:rsid w:val="00C12FA4"/>
    <w:rsid w:val="00C209E6"/>
    <w:rsid w:val="00C676B2"/>
    <w:rsid w:val="00C93395"/>
    <w:rsid w:val="00CB37B4"/>
    <w:rsid w:val="00CC5350"/>
    <w:rsid w:val="00CE367D"/>
    <w:rsid w:val="00CF4E87"/>
    <w:rsid w:val="00D20C5C"/>
    <w:rsid w:val="00D235EF"/>
    <w:rsid w:val="00D27A61"/>
    <w:rsid w:val="00D53C5B"/>
    <w:rsid w:val="00D566D8"/>
    <w:rsid w:val="00D65C9C"/>
    <w:rsid w:val="00D86824"/>
    <w:rsid w:val="00DA0844"/>
    <w:rsid w:val="00DA7686"/>
    <w:rsid w:val="00DB4B5C"/>
    <w:rsid w:val="00DC32FF"/>
    <w:rsid w:val="00DD3B60"/>
    <w:rsid w:val="00DE257D"/>
    <w:rsid w:val="00DE7AF4"/>
    <w:rsid w:val="00E036A9"/>
    <w:rsid w:val="00E16FE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E0243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74BA-99BA-4188-B56C-4CA14171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13</cp:revision>
  <cp:lastPrinted>2013-12-03T11:51:00Z</cp:lastPrinted>
  <dcterms:created xsi:type="dcterms:W3CDTF">2015-04-27T15:43:00Z</dcterms:created>
  <dcterms:modified xsi:type="dcterms:W3CDTF">2015-05-22T16:34:00Z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