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371942"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231819">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FB2713">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35CA0">
        <w:rPr>
          <w:rFonts w:ascii="Verdana" w:hAnsi="Verdana"/>
          <w:b/>
        </w:rPr>
        <w:t>Kalkbrennen, Teil I</w:t>
      </w:r>
      <w:r w:rsidR="00972C29">
        <w:rPr>
          <w:rFonts w:ascii="Verdana" w:hAnsi="Verdana"/>
          <w:b/>
        </w:rPr>
        <w:t>I (4.1</w:t>
      </w:r>
      <w:r w:rsidR="00835CA0">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972C29">
        <w:rPr>
          <w:rFonts w:ascii="Verdana" w:hAnsi="Verdana"/>
          <w:b/>
        </w:rPr>
        <w:t>55</w:t>
      </w:r>
    </w:p>
    <w:p w:rsidR="00397845" w:rsidRDefault="00397845">
      <w:pPr>
        <w:rPr>
          <w:rFonts w:ascii="Arial" w:hAnsi="Arial"/>
          <w:sz w:val="24"/>
        </w:rPr>
      </w:pPr>
    </w:p>
    <w:p w:rsidR="00624D80" w:rsidRDefault="00FB2713">
      <w:pPr>
        <w:rPr>
          <w:rFonts w:ascii="Arial" w:hAnsi="Arial"/>
          <w:sz w:val="24"/>
        </w:rPr>
      </w:pPr>
      <w:r w:rsidRPr="00FB2713">
        <w:rPr>
          <w:rFonts w:ascii="Arial" w:hAnsi="Arial"/>
          <w:b/>
          <w:noProof/>
          <w:sz w:val="24"/>
          <w:lang w:val="de-CH"/>
        </w:rPr>
        <w:pict>
          <v:shape id="_x0000_s1078" type="#_x0000_t202" style="position:absolute;margin-left:342.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FB2713">
        <w:rPr>
          <w:rFonts w:ascii="Arial" w:hAnsi="Arial"/>
          <w:b/>
          <w:noProof/>
          <w:lang w:val="de-CH"/>
        </w:rPr>
        <w:pict>
          <v:shape id="_x0000_s1077" type="#_x0000_t202" style="position:absolute;margin-left:262.75pt;margin-top:10.2pt;width:23.85pt;height:23.05pt;z-index:251660288" o:allowincell="f">
            <v:textbox style="mso-next-textbox:#_x0000_s1077">
              <w:txbxContent>
                <w:p w:rsidR="004A0699" w:rsidRPr="009429FD" w:rsidRDefault="009429FD" w:rsidP="0078017E">
                  <w:pPr>
                    <w:rPr>
                      <w:rFonts w:ascii="Arial" w:hAnsi="Arial"/>
                      <w:sz w:val="24"/>
                      <w:szCs w:val="24"/>
                      <w:lang w:val="de-CH"/>
                    </w:rPr>
                  </w:pPr>
                  <w:r>
                    <w:rPr>
                      <w:rFonts w:ascii="Arial" w:hAnsi="Arial"/>
                      <w:sz w:val="24"/>
                      <w:szCs w:val="24"/>
                      <w:lang w:val="de-CH"/>
                    </w:rPr>
                    <w:t>X</w:t>
                  </w:r>
                </w:p>
              </w:txbxContent>
            </v:textbox>
          </v:shape>
        </w:pict>
      </w:r>
      <w:r w:rsidRPr="00FB2713">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9429FD" w:rsidRDefault="009429FD"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992"/>
        <w:gridCol w:w="1701"/>
        <w:gridCol w:w="1559"/>
        <w:gridCol w:w="851"/>
        <w:gridCol w:w="1843"/>
        <w:gridCol w:w="1643"/>
      </w:tblGrid>
      <w:tr w:rsidR="00A1039B" w:rsidTr="00835CA0">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Signal-</w:t>
            </w:r>
          </w:p>
          <w:p w:rsidR="00A1039B" w:rsidRDefault="00A1039B" w:rsidP="003039C6">
            <w:pPr>
              <w:jc w:val="center"/>
              <w:cnfStyle w:val="100000000000"/>
              <w:rPr>
                <w:rFonts w:ascii="Verdana" w:hAnsi="Verdana"/>
                <w:b w:val="0"/>
                <w:color w:val="FF0000"/>
              </w:rPr>
            </w:pPr>
            <w:r>
              <w:rPr>
                <w:rFonts w:ascii="Verdana" w:hAnsi="Verdana"/>
                <w:sz w:val="16"/>
                <w:szCs w:val="16"/>
              </w:rPr>
              <w:t>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566DC7">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71942">
        <w:trPr>
          <w:cnfStyle w:val="000000100000"/>
          <w:trHeight w:val="737"/>
        </w:trPr>
        <w:tc>
          <w:tcPr>
            <w:cnfStyle w:val="001000000000"/>
            <w:tcW w:w="2093" w:type="dxa"/>
          </w:tcPr>
          <w:p w:rsidR="00DC32FF" w:rsidRDefault="00835CA0">
            <w:pPr>
              <w:rPr>
                <w:rFonts w:ascii="Verdana" w:hAnsi="Verdana"/>
                <w:b w:val="0"/>
              </w:rPr>
            </w:pPr>
            <w:r>
              <w:rPr>
                <w:rFonts w:ascii="Verdana" w:hAnsi="Verdana"/>
                <w:b w:val="0"/>
              </w:rPr>
              <w:t>Calciumoxid</w:t>
            </w:r>
          </w:p>
          <w:p w:rsidR="00835CA0" w:rsidRPr="00231819" w:rsidRDefault="00835CA0">
            <w:pPr>
              <w:rPr>
                <w:rFonts w:ascii="Verdana" w:hAnsi="Verdana"/>
                <w:b w:val="0"/>
                <w:sz w:val="18"/>
                <w:szCs w:val="18"/>
              </w:rPr>
            </w:pPr>
            <w:r w:rsidRPr="00231819">
              <w:rPr>
                <w:rFonts w:ascii="Verdana" w:hAnsi="Verdana"/>
                <w:b w:val="0"/>
                <w:sz w:val="18"/>
                <w:szCs w:val="18"/>
              </w:rPr>
              <w:t>(gebrannter Kalk, Reaktionsprodukt)</w:t>
            </w:r>
          </w:p>
        </w:tc>
        <w:tc>
          <w:tcPr>
            <w:tcW w:w="992" w:type="dxa"/>
          </w:tcPr>
          <w:p w:rsidR="00DC32FF" w:rsidRPr="00835CA0" w:rsidRDefault="00835CA0">
            <w:pPr>
              <w:cnfStyle w:val="000000100000"/>
              <w:rPr>
                <w:rFonts w:ascii="Verdana" w:hAnsi="Verdana"/>
                <w:color w:val="FF0000"/>
              </w:rPr>
            </w:pPr>
            <w:r>
              <w:rPr>
                <w:rFonts w:ascii="Verdana" w:hAnsi="Verdana"/>
                <w:color w:val="FF0000"/>
              </w:rPr>
              <w:t>Gefahr</w:t>
            </w:r>
          </w:p>
        </w:tc>
        <w:tc>
          <w:tcPr>
            <w:tcW w:w="1701" w:type="dxa"/>
          </w:tcPr>
          <w:p w:rsidR="00DC32FF" w:rsidRPr="00AC60B9" w:rsidRDefault="00835CA0">
            <w:pPr>
              <w:cnfStyle w:val="000000100000"/>
              <w:rPr>
                <w:rFonts w:ascii="Verdana" w:hAnsi="Verdana"/>
              </w:rPr>
            </w:pPr>
            <w:r>
              <w:rPr>
                <w:rFonts w:ascii="Verdana" w:hAnsi="Verdana"/>
                <w:noProof/>
                <w:lang w:val="de-CH"/>
              </w:rPr>
              <w:drawing>
                <wp:anchor distT="0" distB="0" distL="114300" distR="114300" simplePos="0" relativeHeight="251663360" behindDoc="0" locked="0" layoutInCell="1" allowOverlap="1">
                  <wp:simplePos x="0" y="0"/>
                  <wp:positionH relativeFrom="margin">
                    <wp:posOffset>536575</wp:posOffset>
                  </wp:positionH>
                  <wp:positionV relativeFrom="margin">
                    <wp:posOffset>42545</wp:posOffset>
                  </wp:positionV>
                  <wp:extent cx="321310" cy="323850"/>
                  <wp:effectExtent l="19050" t="0" r="2540" b="0"/>
                  <wp:wrapNone/>
                  <wp:docPr id="2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43815</wp:posOffset>
                  </wp:positionH>
                  <wp:positionV relativeFrom="margin">
                    <wp:posOffset>42545</wp:posOffset>
                  </wp:positionV>
                  <wp:extent cx="321310" cy="323850"/>
                  <wp:effectExtent l="19050" t="0" r="254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559" w:type="dxa"/>
          </w:tcPr>
          <w:p w:rsidR="00DC32FF" w:rsidRPr="00AC60B9" w:rsidRDefault="00835CA0">
            <w:pPr>
              <w:cnfStyle w:val="000000100000"/>
              <w:rPr>
                <w:rFonts w:ascii="Verdana" w:hAnsi="Verdana"/>
                <w:sz w:val="16"/>
                <w:szCs w:val="16"/>
              </w:rPr>
            </w:pPr>
            <w:r>
              <w:rPr>
                <w:rFonts w:ascii="Verdana" w:hAnsi="Verdana"/>
                <w:sz w:val="16"/>
                <w:szCs w:val="16"/>
              </w:rPr>
              <w:t>H315 H318 H335</w:t>
            </w:r>
          </w:p>
        </w:tc>
        <w:tc>
          <w:tcPr>
            <w:tcW w:w="851" w:type="dxa"/>
          </w:tcPr>
          <w:p w:rsidR="00DC32FF" w:rsidRPr="00AC60B9" w:rsidRDefault="00835CA0">
            <w:pPr>
              <w:cnfStyle w:val="000000100000"/>
              <w:rPr>
                <w:rFonts w:ascii="Verdana" w:hAnsi="Verdana"/>
                <w:sz w:val="16"/>
                <w:szCs w:val="16"/>
              </w:rPr>
            </w:pPr>
            <w:r>
              <w:rPr>
                <w:rFonts w:ascii="Verdana" w:hAnsi="Verdana"/>
                <w:sz w:val="16"/>
                <w:szCs w:val="16"/>
              </w:rPr>
              <w:t>keine</w:t>
            </w:r>
          </w:p>
        </w:tc>
        <w:tc>
          <w:tcPr>
            <w:tcW w:w="1843" w:type="dxa"/>
          </w:tcPr>
          <w:p w:rsidR="00DC32FF" w:rsidRDefault="00835CA0">
            <w:pPr>
              <w:cnfStyle w:val="000000100000"/>
              <w:rPr>
                <w:rFonts w:ascii="Verdana" w:hAnsi="Verdana"/>
                <w:sz w:val="16"/>
                <w:szCs w:val="16"/>
              </w:rPr>
            </w:pPr>
            <w:r>
              <w:rPr>
                <w:rFonts w:ascii="Verdana" w:hAnsi="Verdana"/>
                <w:sz w:val="16"/>
                <w:szCs w:val="16"/>
              </w:rPr>
              <w:t>P260</w:t>
            </w:r>
            <w:r w:rsidR="00371942">
              <w:rPr>
                <w:rFonts w:ascii="Verdana" w:hAnsi="Verdana"/>
                <w:sz w:val="16"/>
                <w:szCs w:val="16"/>
              </w:rPr>
              <w:t>_s</w:t>
            </w:r>
            <w:r>
              <w:rPr>
                <w:rFonts w:ascii="Verdana" w:hAnsi="Verdana"/>
                <w:sz w:val="16"/>
                <w:szCs w:val="16"/>
              </w:rPr>
              <w:t xml:space="preserve"> P280</w:t>
            </w:r>
          </w:p>
          <w:p w:rsidR="00835CA0" w:rsidRPr="00AC60B9" w:rsidRDefault="00835CA0">
            <w:pPr>
              <w:cnfStyle w:val="000000100000"/>
              <w:rPr>
                <w:rFonts w:ascii="Verdana" w:hAnsi="Verdana"/>
                <w:sz w:val="16"/>
                <w:szCs w:val="16"/>
              </w:rPr>
            </w:pPr>
            <w:r>
              <w:rPr>
                <w:rFonts w:ascii="Verdana" w:hAnsi="Verdana"/>
                <w:sz w:val="16"/>
                <w:szCs w:val="16"/>
              </w:rPr>
              <w:t>P305+351+338</w:t>
            </w: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371942">
        <w:trPr>
          <w:cnfStyle w:val="100000000000"/>
          <w:trHeight w:val="397"/>
        </w:trPr>
        <w:tc>
          <w:tcPr>
            <w:cnfStyle w:val="001000000000"/>
            <w:tcW w:w="10606" w:type="dxa"/>
          </w:tcPr>
          <w:p w:rsidR="008C7699" w:rsidRDefault="00835CA0">
            <w:pPr>
              <w:rPr>
                <w:rFonts w:ascii="Verdana" w:hAnsi="Verdana"/>
                <w:b w:val="0"/>
              </w:rPr>
            </w:pPr>
            <w:r>
              <w:rPr>
                <w:rFonts w:ascii="Verdana" w:hAnsi="Verdana"/>
                <w:b w:val="0"/>
              </w:rPr>
              <w:t>Marmorstücke (</w:t>
            </w:r>
            <w:r w:rsidR="009429FD">
              <w:rPr>
                <w:rFonts w:ascii="Verdana" w:hAnsi="Verdana"/>
                <w:b w:val="0"/>
              </w:rPr>
              <w:t>Calciumcarbonat</w:t>
            </w:r>
            <w:r>
              <w:rPr>
                <w:rFonts w:ascii="Verdana" w:hAnsi="Verdana"/>
                <w:b w:val="0"/>
              </w:rPr>
              <w:t>)</w:t>
            </w:r>
          </w:p>
        </w:tc>
      </w:tr>
      <w:tr w:rsidR="008C7699" w:rsidTr="00371942">
        <w:trPr>
          <w:cnfStyle w:val="000000100000"/>
          <w:trHeight w:val="397"/>
        </w:trPr>
        <w:tc>
          <w:tcPr>
            <w:cnfStyle w:val="001000000000"/>
            <w:tcW w:w="10606" w:type="dxa"/>
          </w:tcPr>
          <w:p w:rsidR="008C7699" w:rsidRDefault="00835CA0">
            <w:pPr>
              <w:rPr>
                <w:rFonts w:ascii="Verdana" w:hAnsi="Verdana"/>
                <w:b w:val="0"/>
              </w:rPr>
            </w:pPr>
            <w:r>
              <w:rPr>
                <w:rFonts w:ascii="Verdana" w:hAnsi="Verdana"/>
                <w:b w:val="0"/>
              </w:rPr>
              <w:t>Wasser</w:t>
            </w:r>
          </w:p>
        </w:tc>
      </w:tr>
      <w:tr w:rsidR="00835CA0" w:rsidTr="00371942">
        <w:trPr>
          <w:trHeight w:val="397"/>
        </w:trPr>
        <w:tc>
          <w:tcPr>
            <w:cnfStyle w:val="001000000000"/>
            <w:tcW w:w="10606" w:type="dxa"/>
          </w:tcPr>
          <w:p w:rsidR="00835CA0" w:rsidRDefault="00835CA0">
            <w:pPr>
              <w:rPr>
                <w:rFonts w:ascii="Verdana" w:hAnsi="Verdana"/>
                <w:b w:val="0"/>
              </w:rPr>
            </w:pPr>
            <w:r>
              <w:rPr>
                <w:rFonts w:ascii="Verdana" w:hAnsi="Verdana"/>
                <w:b w:val="0"/>
              </w:rPr>
              <w:t>Rotkohlsaft</w:t>
            </w:r>
          </w:p>
        </w:tc>
      </w:tr>
      <w:tr w:rsidR="00972C29" w:rsidTr="00371942">
        <w:trPr>
          <w:cnfStyle w:val="000000100000"/>
          <w:trHeight w:val="397"/>
        </w:trPr>
        <w:tc>
          <w:tcPr>
            <w:cnfStyle w:val="001000000000"/>
            <w:tcW w:w="10606" w:type="dxa"/>
          </w:tcPr>
          <w:p w:rsidR="00972C29" w:rsidRDefault="00972C29" w:rsidP="00D71A5E">
            <w:pPr>
              <w:rPr>
                <w:rFonts w:ascii="Verdana" w:hAnsi="Verdana"/>
                <w:b w:val="0"/>
              </w:rPr>
            </w:pPr>
            <w:r>
              <w:rPr>
                <w:rFonts w:ascii="Verdana" w:hAnsi="Verdana"/>
                <w:b w:val="0"/>
              </w:rPr>
              <w:t>Aktivkohle gekörnt (etwa 2,5 mm)</w:t>
            </w:r>
          </w:p>
        </w:tc>
      </w:tr>
      <w:tr w:rsidR="00972C29" w:rsidRPr="00972C29" w:rsidTr="00371942">
        <w:trPr>
          <w:trHeight w:val="397"/>
        </w:trPr>
        <w:tc>
          <w:tcPr>
            <w:cnfStyle w:val="001000000000"/>
            <w:tcW w:w="10606" w:type="dxa"/>
          </w:tcPr>
          <w:p w:rsidR="00972C29" w:rsidRPr="00972C29" w:rsidRDefault="00972C29" w:rsidP="00D71A5E">
            <w:pPr>
              <w:rPr>
                <w:rFonts w:ascii="Verdana" w:hAnsi="Verdana"/>
                <w:b w:val="0"/>
              </w:rPr>
            </w:pPr>
            <w:r w:rsidRPr="00972C29">
              <w:rPr>
                <w:rFonts w:ascii="Verdana" w:hAnsi="Verdana"/>
                <w:b w:val="0"/>
              </w:rPr>
              <w:t>Quarzglaswolle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972C29" w:rsidRPr="00DB3128" w:rsidRDefault="00972C29" w:rsidP="00972C29">
      <w:pPr>
        <w:pStyle w:val="Textkrper3"/>
        <w:spacing w:line="240" w:lineRule="auto"/>
        <w:jc w:val="both"/>
        <w:rPr>
          <w:rFonts w:ascii="Verdana" w:hAnsi="Verdana"/>
          <w:sz w:val="20"/>
          <w:szCs w:val="20"/>
        </w:rPr>
      </w:pPr>
      <w:r w:rsidRPr="00972C29">
        <w:rPr>
          <w:rFonts w:ascii="Verdana" w:hAnsi="Verdana"/>
          <w:sz w:val="20"/>
          <w:szCs w:val="20"/>
          <w:u w:val="single"/>
        </w:rPr>
        <w:t>Variante 1:</w:t>
      </w:r>
      <w:r>
        <w:rPr>
          <w:rFonts w:ascii="Verdana" w:hAnsi="Verdana"/>
          <w:sz w:val="20"/>
          <w:szCs w:val="20"/>
        </w:rPr>
        <w:t xml:space="preserve"> </w:t>
      </w:r>
      <w:r w:rsidRPr="00DB3128">
        <w:rPr>
          <w:rFonts w:ascii="Verdana" w:hAnsi="Verdana"/>
          <w:sz w:val="20"/>
          <w:szCs w:val="20"/>
        </w:rPr>
        <w:t>Diatomitofen: Das Kalkbrennen und das Kalklöschen werden an dieser Stelle aufgegriffen und wiederholt (siehe Experiment 2.13).</w:t>
      </w:r>
    </w:p>
    <w:p w:rsidR="00972C29" w:rsidRPr="00DB3128" w:rsidRDefault="00972C29" w:rsidP="00972C29">
      <w:pPr>
        <w:pStyle w:val="Textkrper3"/>
        <w:spacing w:line="240" w:lineRule="auto"/>
        <w:jc w:val="both"/>
        <w:rPr>
          <w:rFonts w:ascii="Verdana" w:hAnsi="Verdana"/>
          <w:sz w:val="20"/>
          <w:szCs w:val="20"/>
        </w:rPr>
      </w:pPr>
      <w:r w:rsidRPr="00972C29">
        <w:rPr>
          <w:rFonts w:ascii="Verdana" w:hAnsi="Verdana"/>
          <w:sz w:val="20"/>
          <w:szCs w:val="20"/>
          <w:u w:val="single"/>
        </w:rPr>
        <w:t xml:space="preserve">Variante </w:t>
      </w:r>
      <w:r w:rsidRPr="00972C29">
        <w:rPr>
          <w:rFonts w:ascii="Verdana" w:hAnsi="Verdana"/>
          <w:sz w:val="20"/>
          <w:szCs w:val="20"/>
        </w:rPr>
        <w:t>2:</w:t>
      </w:r>
      <w:r>
        <w:rPr>
          <w:rFonts w:ascii="Verdana" w:hAnsi="Verdana"/>
          <w:sz w:val="20"/>
          <w:szCs w:val="20"/>
        </w:rPr>
        <w:t xml:space="preserve"> ein</w:t>
      </w:r>
      <w:r w:rsidRPr="00DB3128">
        <w:rPr>
          <w:rFonts w:ascii="Verdana" w:hAnsi="Verdana"/>
          <w:sz w:val="20"/>
          <w:szCs w:val="20"/>
        </w:rPr>
        <w:t xml:space="preserve"> Reaktionsrohr wird auf der einen Seite mit dem einfach durchbohrten Stopfen, in dem sich ein rechtwinklig gebogenes Glasröhrchen befindet, verschlossen, dann gibt man einen lockeren Bausch Glaswolle hinein. Das Reaktionsrohr wird senkrecht in ein Stativ eingespannt. Nun werden abwechselnd jeweils 5 Schichten von Aktivkohle (10 mm) und Calciumcarbonat (5 mm) eingefüllt. Dann folgt wieder ein Bausch Glaswolle. Mit dem einfach durchbohrten Stopfen, in dem sich ebenfalls ein rechtwinklig gebogenes Glasröhrchen befindet, wird das Reaktionsrohr oben verschlossen. Dieses Glasröhrchen verbindet man über eine Sicherheitswaschflasche mit der Wasserstrahl</w:t>
      </w:r>
      <w:r>
        <w:rPr>
          <w:rFonts w:ascii="Verdana" w:hAnsi="Verdana"/>
          <w:sz w:val="20"/>
          <w:szCs w:val="20"/>
        </w:rPr>
        <w:t>- oder Vakuum</w:t>
      </w:r>
      <w:r w:rsidRPr="00DB3128">
        <w:rPr>
          <w:rFonts w:ascii="Verdana" w:hAnsi="Verdana"/>
          <w:sz w:val="20"/>
          <w:szCs w:val="20"/>
        </w:rPr>
        <w:t>pumpe. Mit einer fächelnden Brennerflamme wird das Reaktionsrohr erwärmt, bis kein Beschlag von Wasser mehr auftritt. Dann wird die unterste Schicht Aktivkohle zum Glühen erhitzt und gleichzeitig wird über die Wasserstrahlpumpe Luft durch das Reaktionsrohr gesaugt. Die Brennerflamme wird entfernt; wenn 3 Schichten Aktivkohle verbrannt sind, wird das Experiment beendet. Das Reaktionsprodukt wird nach dem Abkühlen aus dem Reaktionsrohr auf ein Uhrglas gegeben.</w:t>
      </w:r>
    </w:p>
    <w:p w:rsidR="00371942" w:rsidRDefault="00371942">
      <w:pPr>
        <w:rPr>
          <w:rFonts w:ascii="Verdana" w:hAnsi="Verdana"/>
          <w:b/>
        </w:rPr>
      </w:pPr>
    </w:p>
    <w:p w:rsidR="00624D80" w:rsidRPr="008C7699" w:rsidRDefault="008C7699">
      <w:pPr>
        <w:rPr>
          <w:rFonts w:ascii="Verdana" w:hAnsi="Verdana"/>
          <w:b/>
        </w:rPr>
      </w:pPr>
      <w:r w:rsidRPr="008C7699">
        <w:rPr>
          <w:rFonts w:ascii="Verdana" w:hAnsi="Verdana"/>
          <w:b/>
        </w:rPr>
        <w:lastRenderedPageBreak/>
        <w:t>Ergänzende Hinweise</w:t>
      </w:r>
    </w:p>
    <w:p w:rsidR="008C7699" w:rsidRDefault="008C7699" w:rsidP="008C7699">
      <w:pPr>
        <w:rPr>
          <w:rFonts w:ascii="Verdana" w:hAnsi="Verdana"/>
          <w:b/>
        </w:rPr>
      </w:pPr>
    </w:p>
    <w:p w:rsidR="00835CA0" w:rsidRDefault="00972C29" w:rsidP="008C7699">
      <w:pPr>
        <w:rPr>
          <w:rFonts w:ascii="Verdana" w:hAnsi="Verdana"/>
          <w:i/>
        </w:rPr>
      </w:pPr>
      <w:r>
        <w:rPr>
          <w:rFonts w:ascii="Verdana" w:hAnsi="Verdana"/>
          <w:i/>
        </w:rPr>
        <w:t>Keine</w:t>
      </w:r>
    </w:p>
    <w:p w:rsidR="00972C29" w:rsidRDefault="00972C29" w:rsidP="008C7699">
      <w:pPr>
        <w:rPr>
          <w:rFonts w:ascii="Verdana" w:hAnsi="Verdana"/>
          <w:i/>
        </w:rPr>
      </w:pPr>
    </w:p>
    <w:p w:rsidR="00231819" w:rsidRPr="00835CA0" w:rsidRDefault="00231819"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835CA0" w:rsidRPr="00835CA0" w:rsidRDefault="00835CA0">
      <w:pPr>
        <w:rPr>
          <w:rFonts w:ascii="Verdana" w:hAnsi="Verdana"/>
          <w:i/>
        </w:rPr>
      </w:pPr>
      <w:r>
        <w:rPr>
          <w:rFonts w:ascii="Verdana" w:hAnsi="Verdana"/>
          <w:i/>
        </w:rPr>
        <w:t xml:space="preserve">Lösungen neutralisieren und filtrieren; Flüssigkeit über das </w:t>
      </w:r>
      <w:r w:rsidR="009429FD">
        <w:rPr>
          <w:rFonts w:ascii="Verdana" w:hAnsi="Verdana"/>
          <w:i/>
        </w:rPr>
        <w:t>Abwasser</w:t>
      </w:r>
      <w:r>
        <w:rPr>
          <w:rFonts w:ascii="Verdana" w:hAnsi="Verdana"/>
          <w:i/>
        </w:rPr>
        <w:t>, Feststoffe über den Hausmüll entsorgen.</w:t>
      </w:r>
    </w:p>
    <w:p w:rsidR="00015609" w:rsidRDefault="00015609">
      <w:pPr>
        <w:rPr>
          <w:rFonts w:ascii="Verdana" w:hAnsi="Verdana"/>
          <w:b/>
        </w:rPr>
      </w:pPr>
    </w:p>
    <w:p w:rsidR="00231819" w:rsidRDefault="0023181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835CA0">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835CA0">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835CA0">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835CA0">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07684A" w:rsidRDefault="0007684A">
            <w:pPr>
              <w:rPr>
                <w:rFonts w:ascii="Verdana" w:hAnsi="Verdana"/>
                <w:b w:val="0"/>
                <w:sz w:val="18"/>
                <w:szCs w:val="18"/>
              </w:rPr>
            </w:pPr>
            <w:r>
              <w:rPr>
                <w:rFonts w:ascii="Verdana" w:hAnsi="Verdana"/>
                <w:b w:val="0"/>
                <w:sz w:val="18"/>
                <w:szCs w:val="18"/>
              </w:rPr>
              <w:t xml:space="preserve">Durch </w:t>
            </w:r>
            <w:r w:rsidR="00AC60B9" w:rsidRPr="0007684A">
              <w:rPr>
                <w:rFonts w:ascii="Verdana" w:hAnsi="Verdana"/>
                <w:b w:val="0"/>
                <w:sz w:val="18"/>
                <w:szCs w:val="18"/>
              </w:rPr>
              <w:t>Augenkontakt</w:t>
            </w:r>
          </w:p>
        </w:tc>
        <w:tc>
          <w:tcPr>
            <w:tcW w:w="688" w:type="dxa"/>
          </w:tcPr>
          <w:p w:rsidR="00AC60B9" w:rsidRPr="00AC60B9" w:rsidRDefault="00835CA0">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371942">
      <w:pPr>
        <w:rPr>
          <w:rFonts w:ascii="Verdana" w:hAnsi="Verdana"/>
          <w:b/>
        </w:rPr>
      </w:pPr>
      <w:r>
        <w:rPr>
          <w:rFonts w:ascii="Verdana" w:hAnsi="Verdana"/>
          <w:b/>
          <w:noProof/>
          <w:lang w:val="de-CH"/>
        </w:rPr>
        <w:drawing>
          <wp:anchor distT="0" distB="0" distL="114300" distR="114300" simplePos="0" relativeHeight="251666432" behindDoc="0" locked="0" layoutInCell="1" allowOverlap="1">
            <wp:simplePos x="0" y="0"/>
            <wp:positionH relativeFrom="margin">
              <wp:posOffset>4375150</wp:posOffset>
            </wp:positionH>
            <wp:positionV relativeFrom="margin">
              <wp:posOffset>4391025</wp:posOffset>
            </wp:positionV>
            <wp:extent cx="400050" cy="400050"/>
            <wp:effectExtent l="19050" t="0" r="0" b="0"/>
            <wp:wrapNone/>
            <wp:docPr id="24"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67456" behindDoc="0" locked="0" layoutInCell="1" allowOverlap="1">
            <wp:simplePos x="0" y="0"/>
            <wp:positionH relativeFrom="margin">
              <wp:posOffset>1530350</wp:posOffset>
            </wp:positionH>
            <wp:positionV relativeFrom="margin">
              <wp:posOffset>4359275</wp:posOffset>
            </wp:positionV>
            <wp:extent cx="400050" cy="400050"/>
            <wp:effectExtent l="19050" t="0" r="0" b="0"/>
            <wp:wrapNone/>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0050" cy="400050"/>
                    </a:xfrm>
                    <a:prstGeom prst="rect">
                      <a:avLst/>
                    </a:prstGeom>
                    <a:noFill/>
                  </pic:spPr>
                </pic:pic>
              </a:graphicData>
            </a:graphic>
          </wp:anchor>
        </w:drawing>
      </w:r>
    </w:p>
    <w:p w:rsidR="00382839" w:rsidRPr="00835CA0" w:rsidRDefault="00835CA0">
      <w:pPr>
        <w:rPr>
          <w:rFonts w:ascii="Verdana" w:hAnsi="Verdana"/>
          <w:i/>
        </w:rPr>
      </w:pPr>
      <w:r>
        <w:rPr>
          <w:rFonts w:ascii="Verdana" w:hAnsi="Verdana"/>
          <w:i/>
        </w:rPr>
        <w:t xml:space="preserve">             Schutzbrille                                       Schutzhandschuhe</w:t>
      </w:r>
    </w:p>
    <w:p w:rsidR="00382839" w:rsidRDefault="00382839">
      <w:pPr>
        <w:rPr>
          <w:rFonts w:ascii="Verdana" w:hAnsi="Verdana"/>
          <w:b/>
        </w:rPr>
      </w:pPr>
    </w:p>
    <w:p w:rsidR="00382839" w:rsidRDefault="009429FD">
      <w:pPr>
        <w:rPr>
          <w:rFonts w:ascii="Verdana" w:hAnsi="Verdana"/>
          <w:i/>
        </w:rPr>
      </w:pPr>
      <w:r>
        <w:rPr>
          <w:rFonts w:ascii="Verdana" w:hAnsi="Verdana"/>
          <w:i/>
        </w:rPr>
        <w:t>Die Betriebsanweisung für Schülerinnen und Schüler wird beachtet.</w:t>
      </w:r>
    </w:p>
    <w:p w:rsidR="009429FD" w:rsidRPr="009429FD" w:rsidRDefault="009429FD">
      <w:pPr>
        <w:rPr>
          <w:rFonts w:ascii="Verdana" w:hAnsi="Verdana"/>
          <w:i/>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9429FD" w:rsidRDefault="009429FD">
      <w:pPr>
        <w:rPr>
          <w:rFonts w:ascii="Verdana" w:hAnsi="Verdana"/>
          <w:i/>
        </w:rPr>
      </w:pPr>
      <w:r>
        <w:rPr>
          <w:rFonts w:ascii="Verdana" w:hAnsi="Verdana"/>
          <w:i/>
        </w:rPr>
        <w:t>Keine</w:t>
      </w:r>
    </w:p>
    <w:p w:rsidR="00371942" w:rsidRDefault="00371942">
      <w:pPr>
        <w:rPr>
          <w:rFonts w:ascii="Arial" w:hAnsi="Arial"/>
        </w:rPr>
      </w:pPr>
    </w:p>
    <w:p w:rsidR="00371942" w:rsidRDefault="00371942">
      <w:pPr>
        <w:rPr>
          <w:rFonts w:ascii="Arial" w:hAnsi="Arial"/>
        </w:rPr>
      </w:pPr>
    </w:p>
    <w:p w:rsidR="00371942" w:rsidRDefault="00371942">
      <w:pPr>
        <w:rPr>
          <w:rFonts w:ascii="Verdana" w:hAnsi="Verdana"/>
          <w:b/>
        </w:rPr>
      </w:pPr>
      <w:r w:rsidRPr="00371942">
        <w:rPr>
          <w:rFonts w:ascii="Verdana" w:hAnsi="Verdana"/>
          <w:b/>
        </w:rPr>
        <w:t>Anmerkungen</w:t>
      </w:r>
    </w:p>
    <w:p w:rsidR="00371942" w:rsidRDefault="00371942">
      <w:pPr>
        <w:rPr>
          <w:rFonts w:ascii="Verdana" w:hAnsi="Verdana"/>
          <w:b/>
        </w:rPr>
      </w:pPr>
    </w:p>
    <w:p w:rsidR="00371942" w:rsidRPr="0007684A" w:rsidRDefault="00371942" w:rsidP="0007684A">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07684A">
        <w:rPr>
          <w:rFonts w:ascii="Verdana" w:hAnsi="Verdana"/>
          <w:sz w:val="16"/>
          <w:szCs w:val="16"/>
          <w:lang w:val="de-CH" w:eastAsia="zh-CN"/>
        </w:rPr>
        <w:t>H315</w:t>
      </w:r>
      <w:r w:rsidRPr="0007684A">
        <w:rPr>
          <w:rFonts w:ascii="Verdana" w:hAnsi="Verdana"/>
          <w:sz w:val="16"/>
          <w:szCs w:val="16"/>
          <w:lang w:val="de-CH" w:eastAsia="zh-CN"/>
        </w:rPr>
        <w:tab/>
      </w:r>
      <w:r w:rsidRPr="0007684A">
        <w:rPr>
          <w:rFonts w:ascii="Verdana" w:hAnsi="Verdana"/>
          <w:sz w:val="16"/>
          <w:szCs w:val="16"/>
          <w:lang w:val="de-CH" w:eastAsia="zh-CN"/>
        </w:rPr>
        <w:tab/>
      </w:r>
      <w:r w:rsidRPr="0007684A">
        <w:rPr>
          <w:rFonts w:ascii="Verdana" w:hAnsi="Verdana"/>
          <w:sz w:val="16"/>
          <w:szCs w:val="16"/>
          <w:lang w:eastAsia="zh-CN"/>
        </w:rPr>
        <w:t>Verursacht Hautreizungen.</w:t>
      </w:r>
    </w:p>
    <w:p w:rsidR="00371942" w:rsidRPr="0007684A" w:rsidRDefault="00371942" w:rsidP="0007684A">
      <w:pPr>
        <w:pBdr>
          <w:between w:val="single" w:sz="4" w:space="1" w:color="auto"/>
          <w:bar w:val="single" w:sz="4" w:color="auto"/>
        </w:pBdr>
        <w:shd w:val="clear" w:color="auto" w:fill="F7CAAC" w:themeFill="accent2" w:themeFillTint="66"/>
        <w:tabs>
          <w:tab w:val="left" w:pos="1418"/>
        </w:tabs>
        <w:rPr>
          <w:rFonts w:ascii="Verdana" w:hAnsi="Verdana"/>
          <w:sz w:val="16"/>
          <w:szCs w:val="16"/>
          <w:lang w:val="de-CH"/>
        </w:rPr>
      </w:pPr>
      <w:r w:rsidRPr="0007684A">
        <w:rPr>
          <w:rFonts w:ascii="Verdana" w:hAnsi="Verdana"/>
          <w:sz w:val="16"/>
          <w:szCs w:val="16"/>
          <w:lang w:val="de-CH"/>
        </w:rPr>
        <w:t>H318</w:t>
      </w:r>
      <w:r w:rsidRPr="0007684A">
        <w:rPr>
          <w:rFonts w:ascii="Verdana" w:hAnsi="Verdana"/>
          <w:sz w:val="16"/>
          <w:szCs w:val="16"/>
          <w:lang w:val="de-CH"/>
        </w:rPr>
        <w:tab/>
        <w:t>Verursacht schwere Augenschäden.</w:t>
      </w:r>
    </w:p>
    <w:p w:rsidR="00371942" w:rsidRPr="0007684A" w:rsidRDefault="00371942" w:rsidP="0007684A">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07684A">
        <w:rPr>
          <w:rFonts w:ascii="Verdana" w:hAnsi="Verdana"/>
          <w:sz w:val="16"/>
          <w:szCs w:val="16"/>
          <w:lang w:val="de-CH" w:eastAsia="zh-CN"/>
        </w:rPr>
        <w:t>H335</w:t>
      </w:r>
      <w:r w:rsidRPr="0007684A">
        <w:rPr>
          <w:rFonts w:ascii="Verdana" w:hAnsi="Verdana"/>
          <w:sz w:val="16"/>
          <w:szCs w:val="16"/>
          <w:lang w:val="de-CH" w:eastAsia="zh-CN"/>
        </w:rPr>
        <w:tab/>
      </w:r>
      <w:r w:rsidRPr="0007684A">
        <w:rPr>
          <w:rFonts w:ascii="Verdana" w:hAnsi="Verdana"/>
          <w:sz w:val="16"/>
          <w:szCs w:val="16"/>
          <w:lang w:val="de-CH" w:eastAsia="zh-CN"/>
        </w:rPr>
        <w:tab/>
      </w:r>
      <w:r w:rsidRPr="0007684A">
        <w:rPr>
          <w:rFonts w:ascii="Verdana" w:hAnsi="Verdana"/>
          <w:sz w:val="16"/>
          <w:szCs w:val="16"/>
          <w:lang w:eastAsia="zh-CN"/>
        </w:rPr>
        <w:t>Kann die Atemwege reizen.</w:t>
      </w:r>
    </w:p>
    <w:p w:rsidR="00371942" w:rsidRPr="0007684A" w:rsidRDefault="00371942" w:rsidP="0007684A">
      <w:pPr>
        <w:pBdr>
          <w:between w:val="single" w:sz="4" w:space="1" w:color="auto"/>
          <w:bar w:val="single" w:sz="4" w:color="auto"/>
        </w:pBdr>
        <w:tabs>
          <w:tab w:val="left" w:pos="1485"/>
        </w:tabs>
        <w:rPr>
          <w:rFonts w:ascii="Verdana" w:hAnsi="Verdana"/>
          <w:sz w:val="16"/>
          <w:szCs w:val="16"/>
          <w:lang w:val="de-CH"/>
        </w:rPr>
      </w:pPr>
    </w:p>
    <w:p w:rsidR="00371942" w:rsidRPr="0007684A" w:rsidRDefault="00371942" w:rsidP="0007684A">
      <w:pPr>
        <w:pBdr>
          <w:between w:val="single" w:sz="4" w:space="1" w:color="auto"/>
          <w:bar w:val="single" w:sz="4" w:color="auto"/>
        </w:pBdr>
        <w:shd w:val="clear" w:color="auto" w:fill="BDD6EE" w:themeFill="accent1" w:themeFillTint="66"/>
        <w:tabs>
          <w:tab w:val="left" w:pos="1418"/>
        </w:tabs>
        <w:rPr>
          <w:rFonts w:ascii="Verdana" w:hAnsi="Verdana"/>
          <w:sz w:val="16"/>
          <w:szCs w:val="16"/>
          <w:lang w:val="de-CH"/>
        </w:rPr>
      </w:pPr>
      <w:r w:rsidRPr="0007684A">
        <w:rPr>
          <w:rFonts w:ascii="Verdana" w:hAnsi="Verdana"/>
          <w:sz w:val="16"/>
          <w:szCs w:val="16"/>
          <w:lang w:val="de-CH"/>
        </w:rPr>
        <w:t>P260_s</w:t>
      </w:r>
      <w:r w:rsidRPr="0007684A">
        <w:rPr>
          <w:rFonts w:ascii="Verdana" w:hAnsi="Verdana"/>
          <w:sz w:val="16"/>
          <w:szCs w:val="16"/>
          <w:lang w:val="de-CH"/>
        </w:rPr>
        <w:tab/>
        <w:t>Staub / Rauch nicht einatmen.</w:t>
      </w:r>
    </w:p>
    <w:p w:rsidR="00371942" w:rsidRPr="0007684A" w:rsidRDefault="00371942" w:rsidP="0007684A">
      <w:pPr>
        <w:pBdr>
          <w:between w:val="single" w:sz="4" w:space="1" w:color="auto"/>
          <w:bar w:val="single" w:sz="4" w:color="auto"/>
        </w:pBdr>
        <w:shd w:val="clear" w:color="auto" w:fill="BDD6EE" w:themeFill="accent1" w:themeFillTint="66"/>
        <w:tabs>
          <w:tab w:val="left" w:pos="1418"/>
        </w:tabs>
        <w:rPr>
          <w:rFonts w:ascii="Verdana" w:hAnsi="Verdana"/>
          <w:sz w:val="16"/>
          <w:szCs w:val="16"/>
          <w:lang w:val="de-CH"/>
        </w:rPr>
      </w:pPr>
      <w:r w:rsidRPr="0007684A">
        <w:rPr>
          <w:rFonts w:ascii="Verdana" w:hAnsi="Verdana"/>
          <w:sz w:val="16"/>
          <w:szCs w:val="16"/>
          <w:lang w:val="de-CH"/>
        </w:rPr>
        <w:t>P280</w:t>
      </w:r>
      <w:r w:rsidRPr="0007684A">
        <w:rPr>
          <w:rFonts w:ascii="Verdana" w:hAnsi="Verdana"/>
          <w:sz w:val="16"/>
          <w:szCs w:val="16"/>
          <w:lang w:val="de-CH"/>
        </w:rPr>
        <w:tab/>
        <w:t>Schutzhandschuhe / Schutzkleidun</w:t>
      </w:r>
      <w:r w:rsidR="001268D5">
        <w:rPr>
          <w:rFonts w:ascii="Verdana" w:hAnsi="Verdana"/>
          <w:sz w:val="16"/>
          <w:szCs w:val="16"/>
          <w:lang w:val="de-CH"/>
        </w:rPr>
        <w:t xml:space="preserve">g / Augenschutz </w:t>
      </w:r>
      <w:r w:rsidRPr="0007684A">
        <w:rPr>
          <w:rFonts w:ascii="Verdana" w:hAnsi="Verdana"/>
          <w:sz w:val="16"/>
          <w:szCs w:val="16"/>
          <w:lang w:val="de-CH"/>
        </w:rPr>
        <w:t xml:space="preserve"> tragen.</w:t>
      </w:r>
    </w:p>
    <w:p w:rsidR="00371942" w:rsidRPr="0007684A" w:rsidRDefault="00371942" w:rsidP="0007684A">
      <w:pPr>
        <w:pBdr>
          <w:between w:val="single" w:sz="4" w:space="1" w:color="auto"/>
          <w:bar w:val="single" w:sz="4" w:color="auto"/>
        </w:pBdr>
        <w:shd w:val="clear" w:color="auto" w:fill="BDD6EE" w:themeFill="accent1" w:themeFillTint="66"/>
        <w:tabs>
          <w:tab w:val="left" w:pos="1418"/>
        </w:tabs>
        <w:rPr>
          <w:rFonts w:ascii="Verdana" w:hAnsi="Verdana"/>
          <w:sz w:val="16"/>
          <w:szCs w:val="16"/>
          <w:lang w:val="de-CH"/>
        </w:rPr>
      </w:pPr>
      <w:r w:rsidRPr="0007684A">
        <w:rPr>
          <w:rFonts w:ascii="Verdana" w:hAnsi="Verdana"/>
          <w:sz w:val="16"/>
          <w:szCs w:val="16"/>
          <w:lang w:val="de-CH"/>
        </w:rPr>
        <w:t>P305+351+338</w:t>
      </w:r>
      <w:r w:rsidRPr="0007684A">
        <w:rPr>
          <w:rFonts w:ascii="Verdana" w:hAnsi="Verdana"/>
          <w:sz w:val="16"/>
          <w:szCs w:val="16"/>
          <w:lang w:val="de-CH"/>
        </w:rPr>
        <w:tab/>
        <w:t xml:space="preserve">Bei Kontakt mit den Augen: Einige Minuten lang behutsam mit Wasser spülen. Vorhandene Kontaktlinsen nach </w:t>
      </w:r>
      <w:r w:rsidRPr="0007684A">
        <w:rPr>
          <w:rFonts w:ascii="Verdana" w:hAnsi="Verdana"/>
          <w:sz w:val="16"/>
          <w:szCs w:val="16"/>
          <w:lang w:val="de-CH"/>
        </w:rPr>
        <w:tab/>
        <w:t>Möglichkeit entfernen. Weiter spülen.</w:t>
      </w: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Default="00371942">
      <w:pPr>
        <w:rPr>
          <w:rFonts w:ascii="Verdana" w:hAnsi="Verdana"/>
          <w:b/>
        </w:rPr>
      </w:pPr>
    </w:p>
    <w:p w:rsidR="00371942" w:rsidRPr="00371942" w:rsidRDefault="00371942">
      <w:pPr>
        <w:rPr>
          <w:rFonts w:ascii="Verdana" w:hAnsi="Verdana"/>
          <w:b/>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371942" w:rsidRDefault="00371942">
      <w:pPr>
        <w:rPr>
          <w:rFonts w:ascii="Arial" w:hAnsi="Arial"/>
        </w:rPr>
      </w:pPr>
    </w:p>
    <w:p w:rsidR="00371942" w:rsidRDefault="00371942">
      <w:pPr>
        <w:rPr>
          <w:rFonts w:ascii="Arial" w:hAnsi="Arial"/>
        </w:rPr>
      </w:pPr>
    </w:p>
    <w:p w:rsidR="00371942" w:rsidRDefault="00371942">
      <w:pPr>
        <w:rPr>
          <w:rFonts w:ascii="Arial" w:hAnsi="Arial"/>
        </w:rPr>
      </w:pPr>
    </w:p>
    <w:p w:rsidR="00371942" w:rsidRDefault="00371942">
      <w:pPr>
        <w:rPr>
          <w:rFonts w:ascii="Arial" w:hAnsi="Arial"/>
        </w:rPr>
      </w:pPr>
    </w:p>
    <w:p w:rsidR="00371942" w:rsidRDefault="00371942">
      <w:pPr>
        <w:rPr>
          <w:rFonts w:ascii="Arial" w:hAnsi="Arial"/>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371942" w:rsidRDefault="00371942">
      <w:pPr>
        <w:rPr>
          <w:rFonts w:ascii="Verdana" w:hAnsi="Verdana"/>
        </w:rPr>
      </w:pPr>
    </w:p>
    <w:p w:rsidR="00371942" w:rsidRDefault="00371942">
      <w:pPr>
        <w:rPr>
          <w:rFonts w:ascii="Verdana" w:hAnsi="Verdana"/>
        </w:rPr>
      </w:pPr>
    </w:p>
    <w:p w:rsidR="00371942" w:rsidRDefault="00371942">
      <w:pPr>
        <w:rPr>
          <w:rFonts w:ascii="Verdana" w:hAnsi="Verdana"/>
        </w:rPr>
      </w:pPr>
    </w:p>
    <w:p w:rsidR="00371942" w:rsidRDefault="00371942">
      <w:pPr>
        <w:rPr>
          <w:rFonts w:ascii="Verdana" w:hAnsi="Verdana"/>
        </w:rPr>
      </w:pPr>
    </w:p>
    <w:p w:rsidR="00371942" w:rsidRDefault="00371942">
      <w:pPr>
        <w:rPr>
          <w:rFonts w:ascii="Verdana" w:hAnsi="Verdana"/>
        </w:rPr>
      </w:pPr>
    </w:p>
    <w:p w:rsidR="00015609" w:rsidRDefault="00015609">
      <w:pPr>
        <w:rPr>
          <w:rFonts w:ascii="Verdana" w:hAnsi="Verdana"/>
        </w:rPr>
      </w:pPr>
    </w:p>
    <w:p w:rsidR="00371942" w:rsidRDefault="00015609" w:rsidP="00231819">
      <w:pPr>
        <w:rPr>
          <w:rFonts w:ascii="Verdana" w:hAnsi="Verdana"/>
        </w:rPr>
      </w:pPr>
      <w:r>
        <w:rPr>
          <w:rFonts w:ascii="Verdana" w:hAnsi="Verdana"/>
        </w:rPr>
        <w:t>Schulstempel</w:t>
      </w:r>
      <w:r w:rsidR="00397845">
        <w:rPr>
          <w:rFonts w:ascii="Verdana" w:hAnsi="Verdana"/>
        </w:rPr>
        <w:tab/>
      </w:r>
      <w:r w:rsidR="00397845">
        <w:rPr>
          <w:rFonts w:ascii="Verdana" w:hAnsi="Verdana"/>
        </w:rPr>
        <w:tab/>
      </w: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p>
    <w:p w:rsidR="00371942" w:rsidRDefault="00371942" w:rsidP="00231819">
      <w:pPr>
        <w:rPr>
          <w:rFonts w:ascii="Verdana" w:hAnsi="Verdana"/>
        </w:rPr>
      </w:pPr>
      <w:bookmarkStart w:id="0" w:name="_GoBack"/>
      <w:bookmarkEnd w:id="0"/>
    </w:p>
    <w:p w:rsidR="00382839" w:rsidRDefault="00397845" w:rsidP="00231819">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382839" w:rsidP="00371942">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371942">
        <w:rPr>
          <w:rFonts w:ascii="Verdana" w:hAnsi="Verdana"/>
          <w:sz w:val="16"/>
          <w:szCs w:val="16"/>
        </w:rPr>
        <w:t xml:space="preserve"> / Atelierschule Zürich / Erstelldatum: 14.05.2015</w:t>
      </w:r>
    </w:p>
    <w:p w:rsidR="0024642C" w:rsidRPr="009429FD"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9429FD"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AA" w:rsidRDefault="00C65EAA" w:rsidP="00015609">
      <w:r>
        <w:separator/>
      </w:r>
    </w:p>
  </w:endnote>
  <w:endnote w:type="continuationSeparator" w:id="0">
    <w:p w:rsidR="00C65EAA" w:rsidRDefault="00C65EA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AA" w:rsidRDefault="00C65EAA" w:rsidP="00015609">
      <w:r>
        <w:separator/>
      </w:r>
    </w:p>
  </w:footnote>
  <w:footnote w:type="continuationSeparator" w:id="0">
    <w:p w:rsidR="00C65EAA" w:rsidRDefault="00C65EAA"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FB2713" w:rsidP="00015609">
    <w:pPr>
      <w:pStyle w:val="Kopfzeile"/>
      <w:tabs>
        <w:tab w:val="clear" w:pos="4536"/>
        <w:tab w:val="clear" w:pos="9072"/>
        <w:tab w:val="left" w:pos="8445"/>
      </w:tabs>
    </w:pPr>
    <w:r w:rsidRPr="00FB2713">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FB2713">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FB2713">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7684A"/>
    <w:rsid w:val="00094BA1"/>
    <w:rsid w:val="000D37C8"/>
    <w:rsid w:val="001005CA"/>
    <w:rsid w:val="00112DC4"/>
    <w:rsid w:val="001268D5"/>
    <w:rsid w:val="00142B91"/>
    <w:rsid w:val="001653C7"/>
    <w:rsid w:val="00173ECE"/>
    <w:rsid w:val="001A6020"/>
    <w:rsid w:val="001C32D5"/>
    <w:rsid w:val="001E2122"/>
    <w:rsid w:val="001E53A7"/>
    <w:rsid w:val="002143C5"/>
    <w:rsid w:val="00221ED2"/>
    <w:rsid w:val="00231819"/>
    <w:rsid w:val="0024642C"/>
    <w:rsid w:val="0029699B"/>
    <w:rsid w:val="002E3A90"/>
    <w:rsid w:val="002E3B1E"/>
    <w:rsid w:val="003372CF"/>
    <w:rsid w:val="00363754"/>
    <w:rsid w:val="00366065"/>
    <w:rsid w:val="00371942"/>
    <w:rsid w:val="00376D8D"/>
    <w:rsid w:val="00382839"/>
    <w:rsid w:val="00397845"/>
    <w:rsid w:val="003A3231"/>
    <w:rsid w:val="003A3BDB"/>
    <w:rsid w:val="003A7D67"/>
    <w:rsid w:val="003C6E9E"/>
    <w:rsid w:val="003D1449"/>
    <w:rsid w:val="0041466B"/>
    <w:rsid w:val="004420D1"/>
    <w:rsid w:val="00443BF4"/>
    <w:rsid w:val="004514FE"/>
    <w:rsid w:val="00456B7F"/>
    <w:rsid w:val="0046211C"/>
    <w:rsid w:val="00467D3E"/>
    <w:rsid w:val="004A0699"/>
    <w:rsid w:val="004B4FF4"/>
    <w:rsid w:val="00523D26"/>
    <w:rsid w:val="005643F9"/>
    <w:rsid w:val="00566DC7"/>
    <w:rsid w:val="005A207F"/>
    <w:rsid w:val="005A4729"/>
    <w:rsid w:val="005E2480"/>
    <w:rsid w:val="00624D80"/>
    <w:rsid w:val="006263D1"/>
    <w:rsid w:val="00655BBC"/>
    <w:rsid w:val="006C5B2B"/>
    <w:rsid w:val="006E514C"/>
    <w:rsid w:val="006F371F"/>
    <w:rsid w:val="006F5584"/>
    <w:rsid w:val="0070507A"/>
    <w:rsid w:val="0071582C"/>
    <w:rsid w:val="007423E0"/>
    <w:rsid w:val="00751ABE"/>
    <w:rsid w:val="00765A51"/>
    <w:rsid w:val="00765C0E"/>
    <w:rsid w:val="00776E68"/>
    <w:rsid w:val="0078017E"/>
    <w:rsid w:val="007859D3"/>
    <w:rsid w:val="00795230"/>
    <w:rsid w:val="007B7972"/>
    <w:rsid w:val="007D2515"/>
    <w:rsid w:val="007D295C"/>
    <w:rsid w:val="0080352E"/>
    <w:rsid w:val="00806A16"/>
    <w:rsid w:val="00816966"/>
    <w:rsid w:val="008343F4"/>
    <w:rsid w:val="00835CA0"/>
    <w:rsid w:val="0085786A"/>
    <w:rsid w:val="00875E4E"/>
    <w:rsid w:val="008830AE"/>
    <w:rsid w:val="008C4A27"/>
    <w:rsid w:val="008C595D"/>
    <w:rsid w:val="008C7699"/>
    <w:rsid w:val="008D16D1"/>
    <w:rsid w:val="008F4F72"/>
    <w:rsid w:val="00907BD8"/>
    <w:rsid w:val="009253B0"/>
    <w:rsid w:val="009429FD"/>
    <w:rsid w:val="009550B8"/>
    <w:rsid w:val="00962356"/>
    <w:rsid w:val="00964841"/>
    <w:rsid w:val="00965EA1"/>
    <w:rsid w:val="0097293F"/>
    <w:rsid w:val="00972C29"/>
    <w:rsid w:val="00993BD6"/>
    <w:rsid w:val="009B4CC7"/>
    <w:rsid w:val="009C7CC5"/>
    <w:rsid w:val="009D57AA"/>
    <w:rsid w:val="009D6827"/>
    <w:rsid w:val="009F52EC"/>
    <w:rsid w:val="00A1039B"/>
    <w:rsid w:val="00A1642E"/>
    <w:rsid w:val="00A33993"/>
    <w:rsid w:val="00A505D4"/>
    <w:rsid w:val="00A6055C"/>
    <w:rsid w:val="00A70890"/>
    <w:rsid w:val="00A77634"/>
    <w:rsid w:val="00A8046D"/>
    <w:rsid w:val="00A91936"/>
    <w:rsid w:val="00AC37A7"/>
    <w:rsid w:val="00AC60B9"/>
    <w:rsid w:val="00AE4E6E"/>
    <w:rsid w:val="00AF3E21"/>
    <w:rsid w:val="00B03BAF"/>
    <w:rsid w:val="00B11E40"/>
    <w:rsid w:val="00B61890"/>
    <w:rsid w:val="00B65545"/>
    <w:rsid w:val="00B83007"/>
    <w:rsid w:val="00C037DB"/>
    <w:rsid w:val="00C65EAA"/>
    <w:rsid w:val="00C93395"/>
    <w:rsid w:val="00CB37B4"/>
    <w:rsid w:val="00CC5350"/>
    <w:rsid w:val="00CD3996"/>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84689"/>
    <w:rsid w:val="00FB2713"/>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3">
    <w:name w:val="Body Text 3"/>
    <w:basedOn w:val="Standard"/>
    <w:link w:val="Textkrper3Zchn"/>
    <w:rsid w:val="00835CA0"/>
    <w:pPr>
      <w:spacing w:line="480" w:lineRule="auto"/>
    </w:pPr>
    <w:rPr>
      <w:i/>
      <w:iCs/>
      <w:sz w:val="24"/>
      <w:szCs w:val="24"/>
      <w:lang w:eastAsia="de-DE"/>
    </w:rPr>
  </w:style>
  <w:style w:type="character" w:customStyle="1" w:styleId="Textkrper3Zchn">
    <w:name w:val="Textkörper 3 Zchn"/>
    <w:basedOn w:val="Absatz-Standardschriftart"/>
    <w:link w:val="Textkrper3"/>
    <w:rsid w:val="00835CA0"/>
    <w:rPr>
      <w:i/>
      <w:iCs/>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DAD2-2163-4980-9594-3F05B6D2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8</cp:revision>
  <cp:lastPrinted>2013-12-03T11:51:00Z</cp:lastPrinted>
  <dcterms:created xsi:type="dcterms:W3CDTF">2015-04-20T12:45:00Z</dcterms:created>
  <dcterms:modified xsi:type="dcterms:W3CDTF">2015-05-22T16:26:00Z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