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661580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2D739C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D8710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106BE0">
        <w:rPr>
          <w:rFonts w:ascii="Verdana" w:hAnsi="Verdana"/>
          <w:b/>
        </w:rPr>
        <w:t>Herstellung von Kalilauge (2.14)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106BE0">
        <w:rPr>
          <w:rFonts w:ascii="Verdana" w:hAnsi="Verdana"/>
          <w:b/>
        </w:rPr>
        <w:t>32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D87104">
      <w:pPr>
        <w:rPr>
          <w:rFonts w:ascii="Arial" w:hAnsi="Arial"/>
          <w:sz w:val="24"/>
        </w:rPr>
      </w:pPr>
      <w:r w:rsidRPr="00D8710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0.4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87104">
        <w:rPr>
          <w:rFonts w:ascii="Arial" w:hAnsi="Arial"/>
          <w:b/>
          <w:noProof/>
          <w:lang w:val="de-CH"/>
        </w:rPr>
        <w:pict>
          <v:shape id="_x0000_s1077" type="#_x0000_t202" style="position:absolute;margin-left:260.25pt;margin-top:10.2pt;width:23.85pt;height:23.05pt;z-index:251660288" o:allowincell="f">
            <v:textbox style="mso-next-textbox:#_x0000_s1077">
              <w:txbxContent>
                <w:p w:rsidR="004A0699" w:rsidRPr="00106BE0" w:rsidRDefault="00106BE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D8710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106BE0" w:rsidRDefault="00106BE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992"/>
        <w:gridCol w:w="1559"/>
        <w:gridCol w:w="1559"/>
        <w:gridCol w:w="851"/>
        <w:gridCol w:w="1843"/>
        <w:gridCol w:w="1643"/>
      </w:tblGrid>
      <w:tr w:rsidR="00A1039B" w:rsidTr="00106BE0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183791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106BE0" w:rsidRPr="004E49BC" w:rsidTr="00106BE0">
        <w:trPr>
          <w:cnfStyle w:val="000000100000"/>
          <w:trHeight w:val="903"/>
        </w:trPr>
        <w:tc>
          <w:tcPr>
            <w:cnfStyle w:val="001000000000"/>
            <w:tcW w:w="2235" w:type="dxa"/>
          </w:tcPr>
          <w:p w:rsidR="00A76649" w:rsidRPr="002D739C" w:rsidRDefault="00A76649" w:rsidP="0096752C">
            <w:pPr>
              <w:rPr>
                <w:rFonts w:ascii="Verdana" w:hAnsi="Verdana"/>
                <w:b w:val="0"/>
              </w:rPr>
            </w:pPr>
            <w:r w:rsidRPr="002D739C">
              <w:rPr>
                <w:rFonts w:ascii="Verdana" w:hAnsi="Verdana"/>
                <w:b w:val="0"/>
              </w:rPr>
              <w:t xml:space="preserve">Pottasche </w:t>
            </w:r>
          </w:p>
          <w:p w:rsidR="00A76649" w:rsidRDefault="00A76649" w:rsidP="0096752C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(Kaliumcarbonat)</w:t>
            </w:r>
          </w:p>
          <w:p w:rsidR="00A76649" w:rsidRPr="00C03DEA" w:rsidRDefault="00A76649" w:rsidP="0096752C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[aus 2.2]</w:t>
            </w:r>
          </w:p>
        </w:tc>
        <w:tc>
          <w:tcPr>
            <w:tcW w:w="992" w:type="dxa"/>
          </w:tcPr>
          <w:p w:rsidR="00A76649" w:rsidRPr="00077347" w:rsidRDefault="00A76649" w:rsidP="0096752C">
            <w:pPr>
              <w:cnfStyle w:val="000000100000"/>
              <w:rPr>
                <w:rFonts w:ascii="Verdana" w:hAnsi="Verdana"/>
                <w:color w:val="7030A0"/>
                <w:sz w:val="18"/>
                <w:szCs w:val="18"/>
              </w:rPr>
            </w:pPr>
            <w:r w:rsidRPr="00077347">
              <w:rPr>
                <w:rFonts w:ascii="Verdana" w:hAnsi="Verdana"/>
                <w:color w:val="7030A0"/>
                <w:sz w:val="18"/>
                <w:szCs w:val="18"/>
              </w:rPr>
              <w:t>Achtung</w:t>
            </w:r>
          </w:p>
        </w:tc>
        <w:tc>
          <w:tcPr>
            <w:tcW w:w="1559" w:type="dxa"/>
          </w:tcPr>
          <w:p w:rsidR="00A76649" w:rsidRPr="00077347" w:rsidRDefault="00A76649" w:rsidP="0096752C">
            <w:pPr>
              <w:cnfStyle w:val="000000100000"/>
              <w:rPr>
                <w:rFonts w:ascii="Verdana" w:hAnsi="Verdana"/>
                <w:noProof/>
                <w:color w:val="7030A0"/>
                <w:sz w:val="18"/>
                <w:szCs w:val="18"/>
                <w:lang w:val="de-CH"/>
              </w:rPr>
            </w:pPr>
            <w:r w:rsidRPr="00077347">
              <w:rPr>
                <w:rFonts w:ascii="Verdana" w:hAnsi="Verdana"/>
                <w:noProof/>
                <w:color w:val="7030A0"/>
                <w:sz w:val="18"/>
                <w:szCs w:val="18"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137795</wp:posOffset>
                  </wp:positionV>
                  <wp:extent cx="304800" cy="304800"/>
                  <wp:effectExtent l="19050" t="0" r="0" b="0"/>
                  <wp:wrapNone/>
                  <wp:docPr id="1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76649" w:rsidRPr="00B66328" w:rsidRDefault="00661580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A76649">
              <w:rPr>
                <w:rFonts w:ascii="Verdana" w:hAnsi="Verdana"/>
                <w:sz w:val="16"/>
                <w:szCs w:val="16"/>
              </w:rPr>
              <w:t>313 H319 H335</w:t>
            </w:r>
          </w:p>
        </w:tc>
        <w:tc>
          <w:tcPr>
            <w:tcW w:w="851" w:type="dxa"/>
          </w:tcPr>
          <w:p w:rsidR="00A76649" w:rsidRDefault="00A76649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A76649" w:rsidRDefault="00A76649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A76649" w:rsidRPr="00B66328" w:rsidRDefault="00A76649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A76649" w:rsidRPr="00B66328" w:rsidRDefault="00A76649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32FF" w:rsidRPr="00AC60B9" w:rsidTr="00106BE0">
        <w:trPr>
          <w:trHeight w:val="794"/>
        </w:trPr>
        <w:tc>
          <w:tcPr>
            <w:cnfStyle w:val="001000000000"/>
            <w:tcW w:w="2235" w:type="dxa"/>
          </w:tcPr>
          <w:p w:rsidR="00DC32FF" w:rsidRDefault="00A7664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Calciumhydroxid</w:t>
            </w:r>
          </w:p>
          <w:p w:rsidR="00A76649" w:rsidRPr="002D739C" w:rsidRDefault="00A7664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D739C">
              <w:rPr>
                <w:rFonts w:ascii="Verdana" w:hAnsi="Verdana"/>
                <w:b w:val="0"/>
                <w:sz w:val="18"/>
                <w:szCs w:val="18"/>
              </w:rPr>
              <w:t>(gelöschter Kalk)</w:t>
            </w:r>
          </w:p>
        </w:tc>
        <w:tc>
          <w:tcPr>
            <w:tcW w:w="992" w:type="dxa"/>
          </w:tcPr>
          <w:p w:rsidR="00DC32FF" w:rsidRPr="00A76649" w:rsidRDefault="00A76649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AC4149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522605</wp:posOffset>
                  </wp:positionH>
                  <wp:positionV relativeFrom="margin">
                    <wp:posOffset>78740</wp:posOffset>
                  </wp:positionV>
                  <wp:extent cx="323850" cy="323850"/>
                  <wp:effectExtent l="19050" t="0" r="0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78740</wp:posOffset>
                  </wp:positionV>
                  <wp:extent cx="321310" cy="323850"/>
                  <wp:effectExtent l="19050" t="0" r="254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851" w:type="dxa"/>
          </w:tcPr>
          <w:p w:rsidR="00DC32FF" w:rsidRPr="00AC60B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A7664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2D739C">
              <w:rPr>
                <w:rFonts w:ascii="Verdana" w:hAnsi="Verdana"/>
                <w:sz w:val="16"/>
                <w:szCs w:val="16"/>
              </w:rPr>
              <w:t>_s</w:t>
            </w:r>
            <w:r>
              <w:rPr>
                <w:rFonts w:ascii="Verdana" w:hAnsi="Verdana"/>
                <w:sz w:val="16"/>
                <w:szCs w:val="16"/>
              </w:rPr>
              <w:t xml:space="preserve"> P302+352</w:t>
            </w:r>
          </w:p>
          <w:p w:rsidR="00A7664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</w:t>
            </w:r>
          </w:p>
          <w:p w:rsidR="00A7664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A76649" w:rsidRPr="00AC60B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P313</w:t>
            </w:r>
            <w:r w:rsidR="002D739C">
              <w:rPr>
                <w:rFonts w:ascii="Verdana" w:hAnsi="Verdana"/>
                <w:sz w:val="16"/>
                <w:szCs w:val="16"/>
              </w:rPr>
              <w:t xml:space="preserve"> P280</w:t>
            </w:r>
          </w:p>
        </w:tc>
        <w:tc>
          <w:tcPr>
            <w:tcW w:w="1643" w:type="dxa"/>
          </w:tcPr>
          <w:p w:rsidR="00DC32FF" w:rsidRPr="00AC60B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76649" w:rsidRPr="00AC60B9" w:rsidTr="00106BE0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A76649" w:rsidRDefault="00A7664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Kaliumhydroxid</w:t>
            </w:r>
          </w:p>
          <w:p w:rsidR="00106BE0" w:rsidRPr="002D739C" w:rsidRDefault="00106BE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D739C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992" w:type="dxa"/>
          </w:tcPr>
          <w:p w:rsidR="00A76649" w:rsidRPr="00A76649" w:rsidRDefault="00A76649">
            <w:pPr>
              <w:cnfStyle w:val="000000100000"/>
              <w:rPr>
                <w:rFonts w:ascii="Verdana" w:hAnsi="Verdana"/>
                <w:color w:val="FF0000"/>
              </w:rPr>
            </w:pPr>
            <w:r w:rsidRPr="00A76649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76649" w:rsidRPr="00AC60B9" w:rsidRDefault="00106BE0" w:rsidP="0096752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522605</wp:posOffset>
                  </wp:positionH>
                  <wp:positionV relativeFrom="margin">
                    <wp:posOffset>111125</wp:posOffset>
                  </wp:positionV>
                  <wp:extent cx="323850" cy="323850"/>
                  <wp:effectExtent l="19050" t="0" r="0" b="0"/>
                  <wp:wrapNone/>
                  <wp:docPr id="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111125</wp:posOffset>
                  </wp:positionV>
                  <wp:extent cx="321310" cy="323850"/>
                  <wp:effectExtent l="19050" t="0" r="254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76649" w:rsidRPr="00AC60B9" w:rsidRDefault="00A766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 H290</w:t>
            </w:r>
          </w:p>
        </w:tc>
        <w:tc>
          <w:tcPr>
            <w:tcW w:w="851" w:type="dxa"/>
          </w:tcPr>
          <w:p w:rsidR="00A76649" w:rsidRPr="00AC60B9" w:rsidRDefault="00A766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A76649" w:rsidRDefault="00A766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A76649" w:rsidRDefault="00A766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A76649" w:rsidRDefault="00A766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A76649" w:rsidRPr="00AC60B9" w:rsidRDefault="00A766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643" w:type="dxa"/>
          </w:tcPr>
          <w:p w:rsidR="00A76649" w:rsidRPr="00AC60B9" w:rsidRDefault="00A766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444C0C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A7664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106BE0" w:rsidTr="00444C0C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106BE0" w:rsidRDefault="00106BE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Kalkschlamm (Calciumcarbonat; als 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A76649">
      <w:pPr>
        <w:rPr>
          <w:rFonts w:ascii="Arial" w:hAnsi="Arial"/>
        </w:rPr>
      </w:pPr>
      <w:r w:rsidRPr="00CA0E2E">
        <w:rPr>
          <w:rFonts w:ascii="Verdana" w:hAnsi="Verdana"/>
        </w:rPr>
        <w:t>Pottaschelösung (Kaliumcarbonat</w:t>
      </w:r>
      <w:r>
        <w:rPr>
          <w:rFonts w:ascii="Verdana" w:hAnsi="Verdana"/>
        </w:rPr>
        <w:t>lösung</w:t>
      </w:r>
      <w:r w:rsidRPr="00CA0E2E">
        <w:rPr>
          <w:rFonts w:ascii="Verdana" w:hAnsi="Verdana"/>
        </w:rPr>
        <w:t>) und Calciumhydroxidlösung (gelöschter Kalk mit Wasser versetzen und filtrieren) werden zusammengegeben und kurz aufgekocht. Der ausgefallene Kalk wird nach Abschluss des Kochvorganges abfiltriert und das Filtrat einged</w:t>
      </w:r>
      <w:r>
        <w:rPr>
          <w:rFonts w:ascii="Verdana" w:hAnsi="Verdana"/>
        </w:rPr>
        <w:t>ampft. Dabei erhält man die auß</w:t>
      </w:r>
      <w:r w:rsidRPr="00CA0E2E">
        <w:rPr>
          <w:rFonts w:ascii="Verdana" w:hAnsi="Verdana"/>
        </w:rPr>
        <w:t>erordentlich stark ätzende Kalilauge</w:t>
      </w:r>
      <w:r>
        <w:rPr>
          <w:rFonts w:ascii="Verdana" w:hAnsi="Verdana"/>
        </w:rPr>
        <w:t xml:space="preserve"> (Kaliumhydroxid)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A76649" w:rsidRDefault="00A76649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444C0C" w:rsidRDefault="00444C0C" w:rsidP="008C7699">
      <w:pPr>
        <w:rPr>
          <w:rFonts w:ascii="Verdana" w:hAnsi="Verdana"/>
          <w:i/>
        </w:rPr>
      </w:pPr>
    </w:p>
    <w:p w:rsidR="00444C0C" w:rsidRDefault="00444C0C" w:rsidP="008C7699">
      <w:pPr>
        <w:rPr>
          <w:rFonts w:ascii="Verdana" w:hAnsi="Verdana"/>
          <w:i/>
        </w:rPr>
      </w:pPr>
    </w:p>
    <w:p w:rsidR="00444C0C" w:rsidRPr="00A76649" w:rsidRDefault="00444C0C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Default="00624D80">
      <w:pPr>
        <w:rPr>
          <w:rFonts w:ascii="Arial" w:hAnsi="Arial"/>
        </w:rPr>
      </w:pPr>
    </w:p>
    <w:p w:rsidR="00A76649" w:rsidRPr="00A76649" w:rsidRDefault="00A76649" w:rsidP="00A76649">
      <w:pPr>
        <w:rPr>
          <w:rFonts w:ascii="Verdana" w:hAnsi="Verdana"/>
          <w:i/>
        </w:rPr>
      </w:pPr>
      <w:r w:rsidRPr="00A76649">
        <w:rPr>
          <w:rFonts w:ascii="Verdana" w:hAnsi="Verdana"/>
          <w:i/>
        </w:rPr>
        <w:t>Filter mit Rückstand über den Hausmüll entsorgen; Rückstand nach dem Eindampfen lösen, verdünnen, neutralisieren und über das Abwasser entsorgen.</w:t>
      </w:r>
    </w:p>
    <w:p w:rsidR="00A76649" w:rsidRPr="00A76649" w:rsidRDefault="00A76649">
      <w:pPr>
        <w:rPr>
          <w:rFonts w:ascii="Verdana" w:hAnsi="Verdana"/>
          <w:i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7664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7664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7664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7664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DB54B0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B54B0" w:rsidRDefault="00DB54B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B54B0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B54B0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DB54B0" w:rsidRDefault="00A7664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DB54B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DB54B0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DB54B0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444C0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2495550</wp:posOffset>
            </wp:positionH>
            <wp:positionV relativeFrom="margin">
              <wp:posOffset>3949700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BE0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1638300</wp:posOffset>
            </wp:positionH>
            <wp:positionV relativeFrom="margin">
              <wp:posOffset>3949700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A76649" w:rsidRDefault="00A7664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Schutzbrille                                     </w:t>
      </w:r>
      <w:r w:rsidR="00106BE0">
        <w:rPr>
          <w:rFonts w:ascii="Verdana" w:hAnsi="Verdana"/>
          <w:i/>
        </w:rPr>
        <w:t>Schutzhandschuhe</w:t>
      </w:r>
    </w:p>
    <w:p w:rsidR="00382839" w:rsidRDefault="00382839">
      <w:pPr>
        <w:rPr>
          <w:rFonts w:ascii="Verdana" w:hAnsi="Verdana"/>
          <w:b/>
        </w:rPr>
      </w:pPr>
    </w:p>
    <w:p w:rsidR="00106BE0" w:rsidRDefault="00106BE0">
      <w:pPr>
        <w:rPr>
          <w:rFonts w:ascii="Verdana" w:hAnsi="Verdana"/>
          <w:i/>
        </w:rPr>
      </w:pPr>
    </w:p>
    <w:p w:rsidR="00382839" w:rsidRPr="00106BE0" w:rsidRDefault="00106BE0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Betriebsanweisungen für Sc</w:t>
      </w:r>
      <w:r w:rsidRPr="00106BE0">
        <w:rPr>
          <w:rFonts w:ascii="Verdana" w:hAnsi="Verdana"/>
          <w:i/>
        </w:rPr>
        <w:t>hülerinnen und Schüler werden beachtet.</w:t>
      </w:r>
    </w:p>
    <w:p w:rsidR="00382839" w:rsidRDefault="00382839">
      <w:pPr>
        <w:rPr>
          <w:rFonts w:ascii="Verdana" w:hAnsi="Verdana"/>
          <w:b/>
        </w:rPr>
      </w:pPr>
    </w:p>
    <w:p w:rsidR="00444C0C" w:rsidRDefault="00444C0C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106BE0" w:rsidRDefault="00106BE0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es werden Hilfsmittel zur Vermeidung des Haut- und Augenkontakts verwendet.</w:t>
      </w:r>
    </w:p>
    <w:p w:rsidR="00624D80" w:rsidRDefault="00624D80">
      <w:pPr>
        <w:rPr>
          <w:rFonts w:ascii="Arial" w:hAnsi="Arial"/>
        </w:rPr>
      </w:pPr>
    </w:p>
    <w:p w:rsidR="00A33993" w:rsidRPr="00A33993" w:rsidRDefault="00A33993">
      <w:pPr>
        <w:rPr>
          <w:rFonts w:ascii="Arial" w:hAnsi="Arial"/>
        </w:rPr>
      </w:pPr>
    </w:p>
    <w:p w:rsidR="00624D80" w:rsidRPr="00661580" w:rsidRDefault="00661580">
      <w:pPr>
        <w:rPr>
          <w:rFonts w:ascii="Verdana" w:hAnsi="Verdana"/>
          <w:b/>
        </w:rPr>
      </w:pPr>
      <w:r w:rsidRPr="00661580">
        <w:rPr>
          <w:rFonts w:ascii="Verdana" w:hAnsi="Verdana"/>
          <w:b/>
        </w:rPr>
        <w:t>Anmerkungen</w:t>
      </w:r>
    </w:p>
    <w:p w:rsidR="00661580" w:rsidRDefault="00661580" w:rsidP="00661580">
      <w:pPr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H290</w:t>
      </w:r>
      <w:r w:rsidRPr="00DB54B0">
        <w:rPr>
          <w:rFonts w:ascii="Verdana" w:hAnsi="Verdana"/>
          <w:sz w:val="16"/>
          <w:szCs w:val="16"/>
          <w:lang w:val="de-CH"/>
        </w:rPr>
        <w:tab/>
        <w:t>Kann gegenüber Metallen korrosiv sein.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H302</w:t>
      </w:r>
      <w:r w:rsidRPr="00DB54B0">
        <w:rPr>
          <w:rFonts w:ascii="Verdana" w:hAnsi="Verdana"/>
          <w:sz w:val="16"/>
          <w:szCs w:val="16"/>
          <w:lang w:val="de-CH"/>
        </w:rPr>
        <w:tab/>
        <w:t>Gesundheitsschädlich bei Verschlucken.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H314</w:t>
      </w:r>
      <w:r w:rsidRPr="00DB54B0">
        <w:rPr>
          <w:rFonts w:ascii="Verdana" w:hAnsi="Verdana"/>
          <w:sz w:val="16"/>
          <w:szCs w:val="16"/>
          <w:lang w:val="de-CH"/>
        </w:rPr>
        <w:tab/>
        <w:t>Verursacht schwere Verätzungen der Haut und schwere Augenschäden.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H315</w:t>
      </w:r>
      <w:r w:rsidRPr="00DB54B0">
        <w:rPr>
          <w:rFonts w:ascii="Verdana" w:hAnsi="Verdana"/>
          <w:sz w:val="16"/>
          <w:szCs w:val="16"/>
          <w:lang w:val="de-CH"/>
        </w:rPr>
        <w:tab/>
        <w:t>Verursacht Hautreizungen.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H318</w:t>
      </w:r>
      <w:r w:rsidRPr="00DB54B0">
        <w:rPr>
          <w:rFonts w:ascii="Verdana" w:hAnsi="Verdana"/>
          <w:sz w:val="16"/>
          <w:szCs w:val="16"/>
          <w:lang w:val="de-CH"/>
        </w:rPr>
        <w:tab/>
        <w:t>Verursacht schwere Augenschäden.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H319</w:t>
      </w:r>
      <w:r w:rsidRPr="00DB54B0">
        <w:rPr>
          <w:rFonts w:ascii="Verdana" w:hAnsi="Verdana"/>
          <w:sz w:val="16"/>
          <w:szCs w:val="16"/>
          <w:lang w:val="de-CH"/>
        </w:rPr>
        <w:tab/>
        <w:t>Verursacht schwere Augenreizung.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H335</w:t>
      </w:r>
      <w:r w:rsidRPr="00DB54B0">
        <w:rPr>
          <w:rFonts w:ascii="Verdana" w:hAnsi="Verdana"/>
          <w:sz w:val="16"/>
          <w:szCs w:val="16"/>
          <w:lang w:val="de-CH"/>
        </w:rPr>
        <w:tab/>
        <w:t>Kann die Atemwege reizen.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P260_s</w:t>
      </w:r>
      <w:r w:rsidRPr="00DB54B0">
        <w:rPr>
          <w:rFonts w:ascii="Verdana" w:hAnsi="Verdana"/>
          <w:sz w:val="16"/>
          <w:szCs w:val="16"/>
          <w:lang w:val="de-CH"/>
        </w:rPr>
        <w:tab/>
        <w:t>Staub / Rauch nicht einatmen.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P280</w:t>
      </w:r>
      <w:r w:rsidRPr="00DB54B0">
        <w:rPr>
          <w:rFonts w:ascii="Verdana" w:hAnsi="Verdana"/>
          <w:sz w:val="16"/>
          <w:szCs w:val="16"/>
          <w:lang w:val="de-CH"/>
        </w:rPr>
        <w:tab/>
        <w:t>Schutzhandschuhe / Schutzkleidun</w:t>
      </w:r>
      <w:r w:rsidR="00DB54B0"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DB54B0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P301+330+331</w:t>
      </w:r>
      <w:r w:rsidRPr="00DB54B0">
        <w:rPr>
          <w:rFonts w:ascii="Verdana" w:hAnsi="Verdana"/>
          <w:sz w:val="16"/>
          <w:szCs w:val="16"/>
          <w:lang w:val="de-CH"/>
        </w:rPr>
        <w:tab/>
        <w:t>Bei Verschlucken: Mund ausspülen. Kein Erbrechen herbeiführen.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P302+352</w:t>
      </w:r>
      <w:r w:rsidRPr="00DB54B0">
        <w:rPr>
          <w:rFonts w:ascii="Verdana" w:hAnsi="Verdana"/>
          <w:sz w:val="16"/>
          <w:szCs w:val="16"/>
          <w:lang w:val="de-CH"/>
        </w:rPr>
        <w:tab/>
        <w:t>Bei Kontakt mit der Haut: Mit viel Wasser und Seife waschen.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P304+340</w:t>
      </w:r>
      <w:r w:rsidRPr="00DB54B0">
        <w:rPr>
          <w:rFonts w:ascii="Verdana" w:hAnsi="Verdana"/>
          <w:sz w:val="16"/>
          <w:szCs w:val="16"/>
          <w:lang w:val="de-CH"/>
        </w:rPr>
        <w:tab/>
        <w:t>Bei Einatmen: An die frische Luft bringen und in einer Position ruhig stellen, die das Atmen erleichtert.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P305+351+338</w:t>
      </w:r>
      <w:r w:rsidRPr="00DB54B0">
        <w:rPr>
          <w:rFonts w:ascii="Verdana" w:hAnsi="Verdana"/>
          <w:sz w:val="16"/>
          <w:szCs w:val="16"/>
          <w:lang w:val="de-CH"/>
        </w:rPr>
        <w:tab/>
        <w:t xml:space="preserve">Bei Kontakt mit den Augen: Einige Minuten lang behutsam mit Wasser spülen. Vorhandene Kontaktlinsen nach </w:t>
      </w:r>
      <w:r w:rsidRPr="00DB54B0">
        <w:rPr>
          <w:rFonts w:ascii="Verdana" w:hAnsi="Verdana"/>
          <w:sz w:val="16"/>
          <w:szCs w:val="16"/>
          <w:lang w:val="de-CH"/>
        </w:rPr>
        <w:tab/>
        <w:t>Möglichkeit entfernen. Weiter spülen.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P313</w:t>
      </w:r>
      <w:r w:rsidRPr="00DB54B0">
        <w:rPr>
          <w:rFonts w:ascii="Verdana" w:hAnsi="Verdana"/>
          <w:sz w:val="16"/>
          <w:szCs w:val="16"/>
          <w:lang w:val="de-CH"/>
        </w:rPr>
        <w:tab/>
        <w:t>Ärztlichen Rat einholen / ärztliche Hilfe hinzuziehen.</w:t>
      </w:r>
    </w:p>
    <w:p w:rsidR="00661580" w:rsidRPr="00DB54B0" w:rsidRDefault="00661580" w:rsidP="00DB54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B54B0">
        <w:rPr>
          <w:rFonts w:ascii="Verdana" w:hAnsi="Verdana"/>
          <w:sz w:val="16"/>
          <w:szCs w:val="16"/>
          <w:lang w:val="de-CH"/>
        </w:rPr>
        <w:t>P309+310</w:t>
      </w:r>
      <w:r w:rsidRPr="00DB54B0">
        <w:rPr>
          <w:rFonts w:ascii="Verdana" w:hAnsi="Verdana"/>
          <w:sz w:val="16"/>
          <w:szCs w:val="16"/>
          <w:lang w:val="de-CH"/>
        </w:rPr>
        <w:tab/>
        <w:t>Bei Exposition oder Unwohlsein: Sofort Giftinformationszentrum oder Arzt anrufen.</w:t>
      </w:r>
    </w:p>
    <w:p w:rsidR="00DC32FF" w:rsidRPr="00661580" w:rsidRDefault="00DC32FF">
      <w:pPr>
        <w:rPr>
          <w:rFonts w:ascii="Verdana" w:hAnsi="Verdana"/>
          <w:b/>
          <w:lang w:val="de-CH"/>
        </w:rPr>
      </w:pPr>
    </w:p>
    <w:p w:rsidR="00624D80" w:rsidRDefault="00624D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Pr="00094BA1" w:rsidRDefault="006615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661580" w:rsidRDefault="00661580">
      <w:pPr>
        <w:rPr>
          <w:rFonts w:ascii="Arial" w:hAnsi="Arial"/>
          <w:sz w:val="24"/>
        </w:rPr>
      </w:pPr>
    </w:p>
    <w:p w:rsidR="00661580" w:rsidRDefault="00661580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661580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</w:p>
    <w:p w:rsidR="00661580" w:rsidRDefault="00661580">
      <w:pPr>
        <w:rPr>
          <w:rFonts w:ascii="Verdana" w:hAnsi="Verdana"/>
        </w:rPr>
      </w:pPr>
      <w:bookmarkStart w:id="0" w:name="_GoBack"/>
      <w:bookmarkEnd w:id="0"/>
    </w:p>
    <w:p w:rsidR="00661580" w:rsidRDefault="00661580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382839" w:rsidP="00661580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661580"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444C0C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444C0C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BC" w:rsidRDefault="009463BC" w:rsidP="00015609">
      <w:r>
        <w:separator/>
      </w:r>
    </w:p>
  </w:endnote>
  <w:endnote w:type="continuationSeparator" w:id="0">
    <w:p w:rsidR="009463BC" w:rsidRDefault="009463BC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BC" w:rsidRDefault="009463BC" w:rsidP="00015609">
      <w:r>
        <w:separator/>
      </w:r>
    </w:p>
  </w:footnote>
  <w:footnote w:type="continuationSeparator" w:id="0">
    <w:p w:rsidR="009463BC" w:rsidRDefault="009463BC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D87104" w:rsidP="00015609">
    <w:pPr>
      <w:pStyle w:val="Kopfzeile"/>
      <w:tabs>
        <w:tab w:val="clear" w:pos="4536"/>
        <w:tab w:val="clear" w:pos="9072"/>
        <w:tab w:val="left" w:pos="8445"/>
      </w:tabs>
    </w:pPr>
    <w:r w:rsidRPr="00D8710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8710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D8710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61B16"/>
    <w:rsid w:val="00077347"/>
    <w:rsid w:val="00094BA1"/>
    <w:rsid w:val="000D37C8"/>
    <w:rsid w:val="000F7C83"/>
    <w:rsid w:val="001005CA"/>
    <w:rsid w:val="00106BE0"/>
    <w:rsid w:val="00112DC4"/>
    <w:rsid w:val="00142B91"/>
    <w:rsid w:val="00163C06"/>
    <w:rsid w:val="001653C7"/>
    <w:rsid w:val="00173ECE"/>
    <w:rsid w:val="00183791"/>
    <w:rsid w:val="001A6020"/>
    <w:rsid w:val="001C32D5"/>
    <w:rsid w:val="001E1C19"/>
    <w:rsid w:val="001E2122"/>
    <w:rsid w:val="001E53A7"/>
    <w:rsid w:val="001F5132"/>
    <w:rsid w:val="00204F96"/>
    <w:rsid w:val="00221ED2"/>
    <w:rsid w:val="0024642C"/>
    <w:rsid w:val="002D739C"/>
    <w:rsid w:val="002E3A90"/>
    <w:rsid w:val="002E3B1E"/>
    <w:rsid w:val="00320941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41466B"/>
    <w:rsid w:val="004420D1"/>
    <w:rsid w:val="00443BF4"/>
    <w:rsid w:val="00444C0C"/>
    <w:rsid w:val="004514FE"/>
    <w:rsid w:val="00456B7F"/>
    <w:rsid w:val="0046211C"/>
    <w:rsid w:val="00467D3E"/>
    <w:rsid w:val="004A0699"/>
    <w:rsid w:val="004B4FF4"/>
    <w:rsid w:val="00523D26"/>
    <w:rsid w:val="0052736B"/>
    <w:rsid w:val="005643F9"/>
    <w:rsid w:val="005A207F"/>
    <w:rsid w:val="005A4729"/>
    <w:rsid w:val="005B4CF8"/>
    <w:rsid w:val="005E2480"/>
    <w:rsid w:val="00624D80"/>
    <w:rsid w:val="006263D1"/>
    <w:rsid w:val="00655BBC"/>
    <w:rsid w:val="00661580"/>
    <w:rsid w:val="006E514C"/>
    <w:rsid w:val="006F371F"/>
    <w:rsid w:val="006F5584"/>
    <w:rsid w:val="007043C1"/>
    <w:rsid w:val="0070507A"/>
    <w:rsid w:val="007151A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80352E"/>
    <w:rsid w:val="00806A16"/>
    <w:rsid w:val="00816966"/>
    <w:rsid w:val="008343F4"/>
    <w:rsid w:val="0085786A"/>
    <w:rsid w:val="00875E4E"/>
    <w:rsid w:val="008830AE"/>
    <w:rsid w:val="008B4708"/>
    <w:rsid w:val="008C3497"/>
    <w:rsid w:val="008C4A27"/>
    <w:rsid w:val="008C595D"/>
    <w:rsid w:val="008C7699"/>
    <w:rsid w:val="008D16D1"/>
    <w:rsid w:val="008F4F72"/>
    <w:rsid w:val="00907BD8"/>
    <w:rsid w:val="009253B0"/>
    <w:rsid w:val="009463BC"/>
    <w:rsid w:val="009550B8"/>
    <w:rsid w:val="00962356"/>
    <w:rsid w:val="00964841"/>
    <w:rsid w:val="0097293F"/>
    <w:rsid w:val="009775B3"/>
    <w:rsid w:val="00993BD6"/>
    <w:rsid w:val="009B4CC7"/>
    <w:rsid w:val="009C7CC5"/>
    <w:rsid w:val="009D57AA"/>
    <w:rsid w:val="009D6827"/>
    <w:rsid w:val="009F52EC"/>
    <w:rsid w:val="00A0420A"/>
    <w:rsid w:val="00A1039B"/>
    <w:rsid w:val="00A1642E"/>
    <w:rsid w:val="00A33993"/>
    <w:rsid w:val="00A505D4"/>
    <w:rsid w:val="00A6055C"/>
    <w:rsid w:val="00A70890"/>
    <w:rsid w:val="00A76649"/>
    <w:rsid w:val="00A77634"/>
    <w:rsid w:val="00A8046D"/>
    <w:rsid w:val="00A91936"/>
    <w:rsid w:val="00AC37A7"/>
    <w:rsid w:val="00AC4149"/>
    <w:rsid w:val="00AC60B9"/>
    <w:rsid w:val="00AE4E6E"/>
    <w:rsid w:val="00B01823"/>
    <w:rsid w:val="00B03BAF"/>
    <w:rsid w:val="00B03E55"/>
    <w:rsid w:val="00B11E40"/>
    <w:rsid w:val="00B61890"/>
    <w:rsid w:val="00B65545"/>
    <w:rsid w:val="00B83007"/>
    <w:rsid w:val="00C037DB"/>
    <w:rsid w:val="00C41618"/>
    <w:rsid w:val="00C60C7E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74AB1"/>
    <w:rsid w:val="00D811B7"/>
    <w:rsid w:val="00D87104"/>
    <w:rsid w:val="00DA0844"/>
    <w:rsid w:val="00DB54B0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FC66-6E35-463B-88CA-D5CB5BE6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12</cp:revision>
  <cp:lastPrinted>2013-12-03T11:51:00Z</cp:lastPrinted>
  <dcterms:created xsi:type="dcterms:W3CDTF">2015-04-18T11:20:00Z</dcterms:created>
  <dcterms:modified xsi:type="dcterms:W3CDTF">2015-05-20T14:07:00Z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