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33812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673B5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0277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45880">
        <w:rPr>
          <w:rFonts w:ascii="Verdana" w:hAnsi="Verdana"/>
          <w:b/>
        </w:rPr>
        <w:t>Schwefelsäure und Kochsalz, Schwefelsäure und Kalk</w:t>
      </w:r>
      <w:r w:rsidR="004A0F03">
        <w:rPr>
          <w:rFonts w:ascii="Verdana" w:hAnsi="Verdana"/>
          <w:b/>
        </w:rPr>
        <w:t xml:space="preserve"> (</w:t>
      </w:r>
      <w:r w:rsidR="00545880">
        <w:rPr>
          <w:rFonts w:ascii="Verdana" w:hAnsi="Verdana"/>
          <w:b/>
        </w:rPr>
        <w:t>2.10</w:t>
      </w:r>
      <w:r w:rsidR="004A0F0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545880">
        <w:rPr>
          <w:rFonts w:ascii="Verdana" w:hAnsi="Verdana"/>
          <w:b/>
        </w:rPr>
        <w:t>28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02777">
      <w:pPr>
        <w:rPr>
          <w:rFonts w:ascii="Arial" w:hAnsi="Arial"/>
          <w:sz w:val="24"/>
        </w:rPr>
      </w:pPr>
      <w:r w:rsidRPr="0020277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4.1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02777">
        <w:rPr>
          <w:rFonts w:ascii="Arial" w:hAnsi="Arial"/>
          <w:b/>
          <w:noProof/>
          <w:lang w:val="de-CH"/>
        </w:rPr>
        <w:pict>
          <v:shape id="_x0000_s1077" type="#_x0000_t202" style="position:absolute;margin-left:259.4pt;margin-top:10.2pt;width:23.85pt;height:23.05pt;z-index:251660288" o:allowincell="f">
            <v:textbox style="mso-next-textbox:#_x0000_s1077">
              <w:txbxContent>
                <w:p w:rsidR="004A0699" w:rsidRPr="00170773" w:rsidRDefault="0017077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0277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70773" w:rsidRDefault="0054588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5458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992"/>
        <w:gridCol w:w="1701"/>
        <w:gridCol w:w="1985"/>
        <w:gridCol w:w="850"/>
        <w:gridCol w:w="1560"/>
        <w:gridCol w:w="1643"/>
      </w:tblGrid>
      <w:tr w:rsidR="00C74BFA" w:rsidTr="00C74BFA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C74BFA" w:rsidRDefault="00C74BFA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985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C74BFA" w:rsidRPr="00170773" w:rsidRDefault="00C74BF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C74BFA" w:rsidRDefault="00C74BFA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70773" w:rsidTr="00C74BFA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545880" w:rsidRDefault="00170773" w:rsidP="00170773">
            <w:pPr>
              <w:rPr>
                <w:rFonts w:ascii="Verdana" w:hAnsi="Verdana"/>
                <w:b w:val="0"/>
                <w:bCs w:val="0"/>
                <w:color w:val="000000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 xml:space="preserve">Schwefelsäure </w:t>
            </w:r>
          </w:p>
          <w:p w:rsidR="00170773" w:rsidRPr="00577C7D" w:rsidRDefault="00170773" w:rsidP="00170773">
            <w:pP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577C7D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96-98%</w:t>
            </w:r>
          </w:p>
          <w:p w:rsidR="00DC32FF" w:rsidRDefault="00DC32FF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DC32FF" w:rsidRPr="00170773" w:rsidRDefault="00170773">
            <w:pPr>
              <w:cnfStyle w:val="000000100000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DC32FF" w:rsidRPr="00170773" w:rsidRDefault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</w:t>
            </w:r>
            <w:r w:rsidRPr="00170773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:rsidR="00DC32FF" w:rsidRPr="00170773" w:rsidRDefault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170773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Pr="00170773">
              <w:rPr>
                <w:rFonts w:ascii="Verdana" w:hAnsi="Verdana"/>
                <w:sz w:val="16"/>
                <w:szCs w:val="16"/>
              </w:rPr>
              <w:t>301+330+331</w:t>
            </w:r>
          </w:p>
          <w:p w:rsid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305+351+338</w:t>
            </w:r>
          </w:p>
          <w:p w:rsidR="00DC32FF" w:rsidRP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309+310</w:t>
            </w:r>
          </w:p>
        </w:tc>
        <w:tc>
          <w:tcPr>
            <w:tcW w:w="1643" w:type="dxa"/>
          </w:tcPr>
          <w:p w:rsidR="00DC32FF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</w:tr>
      <w:tr w:rsidR="00545880" w:rsidTr="00C74BFA">
        <w:trPr>
          <w:trHeight w:val="794"/>
        </w:trPr>
        <w:tc>
          <w:tcPr>
            <w:cnfStyle w:val="001000000000"/>
            <w:tcW w:w="1951" w:type="dxa"/>
          </w:tcPr>
          <w:p w:rsidR="00545880" w:rsidRPr="00577C7D" w:rsidRDefault="00545880" w:rsidP="00170773">
            <w:pP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 xml:space="preserve">Salzsäuregas = </w:t>
            </w:r>
            <w:r w:rsidRPr="00577C7D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Chlorwasserstoff</w:t>
            </w:r>
          </w:p>
          <w:p w:rsidR="00545880" w:rsidRPr="00577C7D" w:rsidRDefault="00545880" w:rsidP="00170773">
            <w:pP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577C7D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(Reaktions-</w:t>
            </w:r>
          </w:p>
          <w:p w:rsidR="00545880" w:rsidRDefault="00545880" w:rsidP="00170773">
            <w:pPr>
              <w:rPr>
                <w:rFonts w:ascii="Verdana" w:hAnsi="Verdana"/>
                <w:b w:val="0"/>
                <w:bCs w:val="0"/>
                <w:color w:val="000000"/>
              </w:rPr>
            </w:pPr>
            <w:r w:rsidRPr="00577C7D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produkt)</w:t>
            </w:r>
          </w:p>
        </w:tc>
        <w:tc>
          <w:tcPr>
            <w:tcW w:w="992" w:type="dxa"/>
          </w:tcPr>
          <w:p w:rsidR="00545880" w:rsidRPr="00545880" w:rsidRDefault="00545880">
            <w:pPr>
              <w:cnfStyle w:val="000000000000"/>
              <w:rPr>
                <w:rFonts w:ascii="Verdana" w:hAnsi="Verdana"/>
                <w:color w:val="FF0000"/>
              </w:rPr>
            </w:pPr>
            <w:r w:rsidRPr="00545880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45880" w:rsidRDefault="00FC6CF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133985</wp:posOffset>
                  </wp:positionV>
                  <wp:extent cx="321310" cy="323850"/>
                  <wp:effectExtent l="19050" t="0" r="254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588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margin">
                    <wp:posOffset>133985</wp:posOffset>
                  </wp:positionV>
                  <wp:extent cx="321310" cy="323850"/>
                  <wp:effectExtent l="19050" t="0" r="2540" b="0"/>
                  <wp:wrapNone/>
                  <wp:docPr id="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545880" w:rsidRPr="00545880" w:rsidRDefault="0054588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45880">
              <w:rPr>
                <w:rFonts w:ascii="Verdana" w:hAnsi="Verdana"/>
                <w:sz w:val="16"/>
                <w:szCs w:val="16"/>
              </w:rPr>
              <w:t>H331</w:t>
            </w:r>
          </w:p>
          <w:p w:rsidR="00545880" w:rsidRPr="00545880" w:rsidRDefault="0054588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45880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545880" w:rsidRPr="00545880" w:rsidRDefault="0054588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071</w:t>
            </w:r>
          </w:p>
        </w:tc>
        <w:tc>
          <w:tcPr>
            <w:tcW w:w="1560" w:type="dxa"/>
          </w:tcPr>
          <w:p w:rsidR="00545880" w:rsidRDefault="00545880" w:rsidP="0017077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2673B5">
              <w:rPr>
                <w:rFonts w:ascii="Verdana" w:hAnsi="Verdana"/>
                <w:sz w:val="16"/>
                <w:szCs w:val="16"/>
              </w:rPr>
              <w:t xml:space="preserve">_g </w:t>
            </w:r>
            <w:r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545880" w:rsidRDefault="00545880" w:rsidP="0017077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P304+340 </w:t>
            </w:r>
          </w:p>
          <w:p w:rsidR="00545880" w:rsidRDefault="00545880" w:rsidP="0017077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545880" w:rsidRDefault="00545880" w:rsidP="002673B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</w:t>
            </w:r>
            <w:r w:rsidR="002673B5">
              <w:rPr>
                <w:rFonts w:ascii="Verdana" w:hAnsi="Verdana"/>
                <w:sz w:val="16"/>
                <w:szCs w:val="16"/>
              </w:rPr>
              <w:t>+338</w:t>
            </w:r>
          </w:p>
          <w:p w:rsidR="00545880" w:rsidRPr="00545880" w:rsidRDefault="00545880" w:rsidP="0017077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P405 P403</w:t>
            </w:r>
          </w:p>
        </w:tc>
        <w:tc>
          <w:tcPr>
            <w:tcW w:w="1643" w:type="dxa"/>
          </w:tcPr>
          <w:p w:rsidR="00545880" w:rsidRPr="00577C7D" w:rsidRDefault="002673B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77C7D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EA6F0B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545880" w:rsidP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Kochsalz (Natriumchlorid)</w:t>
            </w:r>
          </w:p>
        </w:tc>
      </w:tr>
      <w:tr w:rsidR="008C7699" w:rsidTr="00EA6F0B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 (Calciumcarbonat)</w:t>
            </w:r>
          </w:p>
        </w:tc>
      </w:tr>
      <w:tr w:rsidR="00545880" w:rsidTr="00EA6F0B">
        <w:trPr>
          <w:trHeight w:val="454"/>
        </w:trPr>
        <w:tc>
          <w:tcPr>
            <w:cnfStyle w:val="001000000000"/>
            <w:tcW w:w="10606" w:type="dxa"/>
          </w:tcPr>
          <w:p w:rsidR="00545880" w:rsidRDefault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Kohlenstoffdioxid (Reaktionsprodukt)</w:t>
            </w:r>
          </w:p>
        </w:tc>
      </w:tr>
      <w:tr w:rsidR="00545880" w:rsidTr="00EA6F0B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545880" w:rsidRDefault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Lackmuspapier oder Rotkohlsaftpapier (Filterpapier getränkt mit Rotkohlsaft)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FC6CFE" w:rsidRPr="007D0E6B" w:rsidRDefault="00FC6CFE" w:rsidP="00FC6CFE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7D0E6B">
        <w:rPr>
          <w:rFonts w:ascii="Verdana" w:hAnsi="Verdana"/>
          <w:sz w:val="20"/>
          <w:szCs w:val="20"/>
        </w:rPr>
        <w:t>In ein</w:t>
      </w:r>
      <w:r>
        <w:rPr>
          <w:rFonts w:ascii="Verdana" w:hAnsi="Verdana"/>
          <w:sz w:val="20"/>
          <w:szCs w:val="20"/>
        </w:rPr>
        <w:t>em Becherglas wird</w:t>
      </w:r>
      <w:r w:rsidRPr="007D0E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Kochsalz mit etwas konzentrierter</w:t>
      </w:r>
      <w:r w:rsidRPr="007D0E6B">
        <w:rPr>
          <w:rFonts w:ascii="Verdana" w:hAnsi="Verdana"/>
          <w:sz w:val="20"/>
          <w:szCs w:val="20"/>
        </w:rPr>
        <w:t xml:space="preserve"> Schwefelsäure</w:t>
      </w:r>
      <w:r>
        <w:rPr>
          <w:rFonts w:ascii="Verdana" w:hAnsi="Verdana"/>
          <w:sz w:val="20"/>
          <w:szCs w:val="20"/>
        </w:rPr>
        <w:t xml:space="preserve"> versetzt</w:t>
      </w:r>
      <w:r w:rsidRPr="007D0E6B">
        <w:rPr>
          <w:rFonts w:ascii="Verdana" w:hAnsi="Verdana"/>
          <w:sz w:val="20"/>
          <w:szCs w:val="20"/>
        </w:rPr>
        <w:t xml:space="preserve">. Man hält über den Ansatz ein mit Rotkohlsaft getränktes Filterpapier. </w:t>
      </w:r>
    </w:p>
    <w:p w:rsidR="00FC6CFE" w:rsidRPr="007D0E6B" w:rsidRDefault="00FC6CFE" w:rsidP="00FC6CFE">
      <w:pPr>
        <w:jc w:val="both"/>
        <w:rPr>
          <w:rFonts w:ascii="Verdana" w:hAnsi="Verdana"/>
          <w:i/>
          <w:iCs/>
        </w:rPr>
      </w:pPr>
      <w:r w:rsidRPr="007D0E6B">
        <w:rPr>
          <w:rFonts w:ascii="Verdana" w:hAnsi="Verdana"/>
          <w:i/>
          <w:iCs/>
        </w:rPr>
        <w:t>Auf etwas Kalkstein wird ebenfalls etwas konzentrierte Schwefelsäure gegeben</w:t>
      </w:r>
      <w:r>
        <w:rPr>
          <w:rFonts w:ascii="Verdana" w:hAnsi="Verdana"/>
          <w:i/>
          <w:iCs/>
        </w:rPr>
        <w:t xml:space="preserve"> (offen). Als Variante stellt man ein kleines Becherglas mit Kalkstückchen in ein groß</w:t>
      </w:r>
      <w:r w:rsidRPr="007D0E6B">
        <w:rPr>
          <w:rFonts w:ascii="Verdana" w:hAnsi="Verdana"/>
          <w:i/>
          <w:iCs/>
        </w:rPr>
        <w:t>es Becherglas. Nach der Zugabe von S</w:t>
      </w:r>
      <w:r>
        <w:rPr>
          <w:rFonts w:ascii="Verdana" w:hAnsi="Verdana"/>
          <w:i/>
          <w:iCs/>
        </w:rPr>
        <w:t>chwefelsäure deckt man das groß</w:t>
      </w:r>
      <w:r w:rsidRPr="007D0E6B">
        <w:rPr>
          <w:rFonts w:ascii="Verdana" w:hAnsi="Verdana"/>
          <w:i/>
          <w:iCs/>
        </w:rPr>
        <w:t>e Becherglas oben ab. Man hält ein feuchtes Lackmuspapier</w:t>
      </w:r>
      <w:r>
        <w:rPr>
          <w:rFonts w:ascii="Verdana" w:hAnsi="Verdana"/>
          <w:i/>
          <w:iCs/>
        </w:rPr>
        <w:t xml:space="preserve"> (oder Rotkohlpapier)</w:t>
      </w:r>
      <w:r w:rsidRPr="007D0E6B">
        <w:rPr>
          <w:rFonts w:ascii="Verdana" w:hAnsi="Verdana"/>
          <w:i/>
          <w:iCs/>
        </w:rPr>
        <w:t xml:space="preserve"> in den Gasraum. 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170773" w:rsidRDefault="0017077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170773" w:rsidRDefault="00170773" w:rsidP="008C7699">
      <w:pPr>
        <w:rPr>
          <w:rFonts w:ascii="Verdana" w:hAnsi="Verdana"/>
          <w:b/>
        </w:rPr>
      </w:pPr>
    </w:p>
    <w:p w:rsidR="00EA6F0B" w:rsidRDefault="00EA6F0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FC6CF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Lösungen verdünnen, neutralisieren und über das </w:t>
      </w:r>
      <w:r w:rsidR="00EA6F0B">
        <w:rPr>
          <w:rFonts w:ascii="Verdana" w:hAnsi="Verdana"/>
          <w:i/>
        </w:rPr>
        <w:t>Abwasser</w:t>
      </w:r>
      <w:r>
        <w:rPr>
          <w:rFonts w:ascii="Verdana" w:hAnsi="Verdana"/>
          <w:i/>
        </w:rPr>
        <w:t xml:space="preserve">, </w:t>
      </w:r>
      <w:r w:rsidR="00170773">
        <w:rPr>
          <w:rFonts w:ascii="Verdana" w:hAnsi="Verdana"/>
          <w:i/>
        </w:rPr>
        <w:t>Feststoffreste über den Hausmüll entsorgen</w:t>
      </w:r>
    </w:p>
    <w:p w:rsidR="00170773" w:rsidRDefault="00170773">
      <w:pPr>
        <w:rPr>
          <w:rFonts w:ascii="Verdana" w:hAnsi="Verdana"/>
          <w:i/>
        </w:rPr>
      </w:pPr>
    </w:p>
    <w:p w:rsidR="00170773" w:rsidRDefault="00170773">
      <w:pPr>
        <w:rPr>
          <w:rFonts w:ascii="Verdana" w:hAnsi="Verdana"/>
          <w:i/>
        </w:rPr>
      </w:pPr>
    </w:p>
    <w:p w:rsidR="00170773" w:rsidRPr="00170773" w:rsidRDefault="00170773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170773" w:rsidRPr="00382839" w:rsidRDefault="00FC6CF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170773" w:rsidRPr="004A0F03" w:rsidRDefault="00FC6CFE">
            <w:pPr>
              <w:cnfStyle w:val="00000010000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Das Einatmen von Chlorwasserstoff muss unbedingt vermieden werden.</w:t>
            </w: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170773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170773" w:rsidRDefault="00CF475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170773" w:rsidRPr="0017077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EA6F0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3844925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3797300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3797300</wp:posOffset>
            </wp:positionV>
            <wp:extent cx="400050" cy="400050"/>
            <wp:effectExtent l="19050" t="0" r="0" b="0"/>
            <wp:wrapNone/>
            <wp:docPr id="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F03" w:rsidRDefault="004A0F03">
      <w:pPr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i/>
        </w:rPr>
        <w:t>Schutzbril</w:t>
      </w:r>
      <w:r w:rsidR="00FC6CFE">
        <w:rPr>
          <w:rFonts w:ascii="Verdana" w:hAnsi="Verdana"/>
          <w:i/>
        </w:rPr>
        <w:t xml:space="preserve">le tragen                  </w:t>
      </w:r>
      <w:r>
        <w:rPr>
          <w:rFonts w:ascii="Verdana" w:hAnsi="Verdana"/>
          <w:i/>
        </w:rPr>
        <w:t>Schutzhandschuhe tragen</w:t>
      </w:r>
      <w:r w:rsidR="00FC6CFE">
        <w:rPr>
          <w:rFonts w:ascii="Verdana" w:hAnsi="Verdana"/>
          <w:i/>
        </w:rPr>
        <w:t xml:space="preserve">                Durchführung in einem</w:t>
      </w:r>
    </w:p>
    <w:p w:rsidR="00FC6CFE" w:rsidRDefault="00FC6CF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</w:t>
      </w:r>
      <w:r w:rsidR="00CF475D">
        <w:rPr>
          <w:rFonts w:ascii="Verdana" w:hAnsi="Verdana"/>
          <w:i/>
        </w:rPr>
        <w:t>geschlossenem</w:t>
      </w:r>
      <w:r>
        <w:rPr>
          <w:rFonts w:ascii="Verdana" w:hAnsi="Verdana"/>
          <w:i/>
        </w:rPr>
        <w:t xml:space="preserve"> System</w:t>
      </w:r>
    </w:p>
    <w:p w:rsidR="004A0F03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</w:t>
      </w:r>
    </w:p>
    <w:p w:rsidR="00382839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>Die Tätigkeitsbeschränkung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285A6E" w:rsidRDefault="00285A6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DC32FF" w:rsidRPr="00FC6CFE" w:rsidRDefault="00FC6CF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Durchführung erfolgt im Abzug oder einem geschlossenen System</w:t>
      </w:r>
      <w:r w:rsidR="004A0F03">
        <w:rPr>
          <w:rFonts w:ascii="Verdana" w:hAnsi="Verdana"/>
          <w:i/>
        </w:rPr>
        <w:t>.</w:t>
      </w:r>
    </w:p>
    <w:p w:rsidR="00624D80" w:rsidRDefault="00624D80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</w:rPr>
      </w:pPr>
    </w:p>
    <w:p w:rsidR="00CF475D" w:rsidRPr="00094BA1" w:rsidRDefault="00CF475D">
      <w:pPr>
        <w:rPr>
          <w:rFonts w:ascii="Verdana" w:hAnsi="Verdana"/>
        </w:rPr>
      </w:pPr>
    </w:p>
    <w:p w:rsidR="00EA6F0B" w:rsidRDefault="00EA6F0B">
      <w:pPr>
        <w:rPr>
          <w:rFonts w:ascii="Verdana" w:hAnsi="Verdana"/>
        </w:rPr>
      </w:pPr>
    </w:p>
    <w:p w:rsidR="00CF475D" w:rsidRDefault="00CF475D">
      <w:pPr>
        <w:rPr>
          <w:rFonts w:ascii="Verdana" w:hAnsi="Verdana"/>
          <w:b/>
        </w:rPr>
      </w:pPr>
    </w:p>
    <w:p w:rsidR="00CF475D" w:rsidRDefault="00CF475D">
      <w:pPr>
        <w:rPr>
          <w:rFonts w:ascii="Verdana" w:hAnsi="Verdana"/>
          <w:b/>
        </w:rPr>
      </w:pPr>
    </w:p>
    <w:p w:rsidR="00EA6F0B" w:rsidRDefault="00833812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833812" w:rsidRDefault="00833812">
      <w:pPr>
        <w:rPr>
          <w:rFonts w:ascii="Verdana" w:hAnsi="Verdana"/>
          <w:b/>
        </w:rPr>
      </w:pPr>
    </w:p>
    <w:p w:rsidR="00833812" w:rsidRPr="00CF475D" w:rsidRDefault="00833812" w:rsidP="00CF475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CF475D">
        <w:rPr>
          <w:rFonts w:ascii="Verdana" w:hAnsi="Verdana"/>
          <w:sz w:val="16"/>
          <w:szCs w:val="16"/>
          <w:lang w:val="de-CH" w:eastAsia="zh-CN"/>
        </w:rPr>
        <w:t>H290</w:t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833812" w:rsidRPr="00CF475D" w:rsidRDefault="00833812" w:rsidP="00CF475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 w:rsidRPr="00CF475D">
        <w:rPr>
          <w:rFonts w:ascii="Verdana" w:hAnsi="Verdana"/>
          <w:sz w:val="16"/>
          <w:szCs w:val="16"/>
          <w:lang w:val="da-DK" w:eastAsia="zh-CN"/>
        </w:rPr>
        <w:t>H314</w:t>
      </w:r>
      <w:r w:rsidRPr="00CF475D">
        <w:rPr>
          <w:rFonts w:ascii="Verdana" w:hAnsi="Verdana"/>
          <w:sz w:val="16"/>
          <w:szCs w:val="16"/>
          <w:lang w:val="da-DK" w:eastAsia="zh-CN"/>
        </w:rPr>
        <w:tab/>
      </w:r>
      <w:r w:rsidRPr="00CF475D">
        <w:rPr>
          <w:rFonts w:ascii="Verdana" w:hAnsi="Verdana"/>
          <w:sz w:val="16"/>
          <w:szCs w:val="16"/>
          <w:lang w:val="da-DK" w:eastAsia="zh-CN"/>
        </w:rPr>
        <w:tab/>
      </w:r>
      <w:r w:rsidRPr="00CF475D">
        <w:rPr>
          <w:rFonts w:ascii="Verdana" w:hAnsi="Verdana"/>
          <w:sz w:val="16"/>
          <w:szCs w:val="16"/>
          <w:lang w:val="da-DK"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CF475D" w:rsidRPr="00CF475D" w:rsidRDefault="00CF475D" w:rsidP="00CF475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H331</w:t>
      </w:r>
      <w:r w:rsidRPr="00CF475D">
        <w:rPr>
          <w:rFonts w:ascii="Verdana" w:hAnsi="Verdana"/>
          <w:sz w:val="16"/>
          <w:szCs w:val="16"/>
          <w:lang w:val="de-CH"/>
        </w:rPr>
        <w:tab/>
        <w:t>Giftig bei Einatmen.</w:t>
      </w: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shd w:val="clear" w:color="auto" w:fill="FFE599" w:themeFill="accent4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EUH071</w:t>
      </w:r>
      <w:r w:rsidRPr="00CF475D">
        <w:rPr>
          <w:rFonts w:ascii="Verdana" w:hAnsi="Verdana"/>
          <w:sz w:val="16"/>
          <w:szCs w:val="16"/>
          <w:lang w:val="de-CH"/>
        </w:rPr>
        <w:tab/>
        <w:t>Wirkt ätzend auf die Atemwege.</w:t>
      </w: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</w:p>
    <w:p w:rsidR="00833812" w:rsidRPr="00CF475D" w:rsidRDefault="00285A6E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P260_g</w:t>
      </w:r>
      <w:r w:rsidRPr="00CF475D">
        <w:rPr>
          <w:rFonts w:ascii="Verdana" w:hAnsi="Verdana"/>
          <w:sz w:val="16"/>
          <w:szCs w:val="16"/>
          <w:lang w:val="de-CH"/>
        </w:rPr>
        <w:tab/>
        <w:t>Gas / Dampf nicht einatmen.</w:t>
      </w:r>
    </w:p>
    <w:p w:rsidR="00833812" w:rsidRPr="00CF475D" w:rsidRDefault="00833812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val="da-DK" w:eastAsia="zh-CN"/>
        </w:rPr>
      </w:pPr>
      <w:r w:rsidRPr="00CF475D">
        <w:rPr>
          <w:rFonts w:ascii="Verdana" w:hAnsi="Verdana"/>
          <w:sz w:val="16"/>
          <w:szCs w:val="16"/>
          <w:lang w:val="de-CH" w:eastAsia="zh-CN"/>
        </w:rPr>
        <w:t>P280</w:t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val="de-CH"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>Schutzhandschuhe/Schutzkle</w:t>
      </w:r>
      <w:r w:rsidR="00DE1022">
        <w:rPr>
          <w:rFonts w:ascii="Verdana" w:hAnsi="Verdana"/>
          <w:sz w:val="16"/>
          <w:szCs w:val="16"/>
          <w:lang w:eastAsia="zh-CN"/>
        </w:rPr>
        <w:t>idung/Augenschutz</w:t>
      </w:r>
      <w:r w:rsidRPr="00CF475D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833812" w:rsidRPr="00CF475D" w:rsidRDefault="00CF475D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CF475D">
        <w:rPr>
          <w:rFonts w:ascii="Verdana" w:hAnsi="Verdana"/>
          <w:sz w:val="16"/>
          <w:szCs w:val="16"/>
          <w:lang w:eastAsia="zh-CN"/>
        </w:rPr>
        <w:t>P301+P330+P331</w:t>
      </w:r>
      <w:r w:rsidRPr="00CF475D"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="00833812" w:rsidRPr="00CF475D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285A6E" w:rsidRPr="00CF475D" w:rsidRDefault="00285A6E" w:rsidP="00CF475D">
      <w:pPr>
        <w:widowControl w:val="0"/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P303+361+353</w:t>
      </w:r>
      <w:r w:rsidRPr="00CF475D">
        <w:rPr>
          <w:rFonts w:ascii="Verdana" w:hAnsi="Verdana"/>
          <w:sz w:val="16"/>
          <w:szCs w:val="16"/>
          <w:lang w:val="de-CH"/>
        </w:rPr>
        <w:tab/>
        <w:t xml:space="preserve">Bei Kontakt mit der Haut (oder dem Haar): Alle beschmutzten, getränkten Kleidungsstücke sofort </w:t>
      </w:r>
      <w:r w:rsidRPr="00CF475D">
        <w:rPr>
          <w:rFonts w:ascii="Verdana" w:hAnsi="Verdana"/>
          <w:sz w:val="16"/>
          <w:szCs w:val="16"/>
          <w:lang w:val="de-CH"/>
        </w:rPr>
        <w:tab/>
        <w:t>ausziehen. Haut mit Wasser abwaschen/duschen.</w:t>
      </w:r>
    </w:p>
    <w:p w:rsidR="00285A6E" w:rsidRPr="00CF475D" w:rsidRDefault="00285A6E" w:rsidP="00CF475D">
      <w:pPr>
        <w:widowControl w:val="0"/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P304+340</w:t>
      </w:r>
      <w:r w:rsidRPr="00CF475D">
        <w:rPr>
          <w:rFonts w:ascii="Verdana" w:hAnsi="Verdana"/>
          <w:sz w:val="16"/>
          <w:szCs w:val="16"/>
          <w:lang w:val="de-CH"/>
        </w:rPr>
        <w:tab/>
        <w:t>Bei Einatmen: An die frische Luft bringen und in einer Position ruhig stellen, die das Atmen erleichtert.</w:t>
      </w:r>
    </w:p>
    <w:p w:rsidR="00CF475D" w:rsidRDefault="00833812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F475D">
        <w:rPr>
          <w:rFonts w:ascii="Verdana" w:hAnsi="Verdana"/>
          <w:sz w:val="16"/>
          <w:szCs w:val="16"/>
          <w:lang w:val="de-CH" w:eastAsia="zh-CN"/>
        </w:rPr>
        <w:t>P305+P351+P338</w:t>
      </w:r>
      <w:r w:rsidRPr="00CF475D">
        <w:rPr>
          <w:rFonts w:ascii="Verdana" w:hAnsi="Verdana"/>
          <w:sz w:val="16"/>
          <w:szCs w:val="16"/>
          <w:lang w:val="da-DK" w:eastAsia="zh-CN"/>
        </w:rPr>
        <w:tab/>
      </w:r>
      <w:r w:rsidR="00CF475D" w:rsidRPr="00CF475D">
        <w:rPr>
          <w:rFonts w:ascii="Verdana" w:hAnsi="Verdana"/>
          <w:sz w:val="16"/>
          <w:szCs w:val="16"/>
          <w:lang w:eastAsia="zh-CN"/>
        </w:rPr>
        <w:t>Bei Berührung mit den Augen</w:t>
      </w:r>
      <w:r w:rsidRPr="00CF475D">
        <w:rPr>
          <w:rFonts w:ascii="Verdana" w:hAnsi="Verdana"/>
          <w:sz w:val="16"/>
          <w:szCs w:val="16"/>
          <w:lang w:eastAsia="zh-CN"/>
        </w:rPr>
        <w:t>: Einige Minuten lang vorsichtig</w:t>
      </w:r>
      <w:r w:rsidR="00285A6E" w:rsidRPr="00CF475D">
        <w:rPr>
          <w:rFonts w:ascii="Verdana" w:hAnsi="Verdana"/>
          <w:sz w:val="16"/>
          <w:szCs w:val="16"/>
          <w:lang w:eastAsia="zh-CN"/>
        </w:rPr>
        <w:t xml:space="preserve"> mit Wasser ausspülen. </w:t>
      </w:r>
      <w:r w:rsidR="00CF475D" w:rsidRPr="00CF475D">
        <w:rPr>
          <w:rFonts w:ascii="Verdana" w:hAnsi="Verdana"/>
          <w:sz w:val="16"/>
          <w:szCs w:val="16"/>
          <w:lang w:eastAsia="zh-CN"/>
        </w:rPr>
        <w:t>Eventuell</w:t>
      </w:r>
      <w:r w:rsidRPr="00CF475D">
        <w:rPr>
          <w:rFonts w:ascii="Verdana" w:hAnsi="Verdana"/>
          <w:sz w:val="16"/>
          <w:szCs w:val="16"/>
          <w:lang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ab/>
      </w:r>
      <w:r w:rsidR="00CF475D" w:rsidRPr="00CF475D">
        <w:rPr>
          <w:rFonts w:ascii="Verdana" w:hAnsi="Verdana"/>
          <w:sz w:val="16"/>
          <w:szCs w:val="16"/>
          <w:lang w:eastAsia="zh-CN"/>
        </w:rPr>
        <w:tab/>
      </w:r>
      <w:r w:rsidRPr="00CF475D">
        <w:rPr>
          <w:rFonts w:ascii="Verdana" w:hAnsi="Verdana"/>
          <w:sz w:val="16"/>
          <w:szCs w:val="16"/>
          <w:lang w:eastAsia="zh-CN"/>
        </w:rPr>
        <w:t>vorhandene Kontaktlinsen nach Möglichkeit entfernen. Weiter spülen</w:t>
      </w:r>
      <w:r w:rsidR="00CF475D">
        <w:rPr>
          <w:rFonts w:ascii="Verdana" w:hAnsi="Verdana"/>
          <w:sz w:val="16"/>
          <w:szCs w:val="16"/>
          <w:lang w:eastAsia="zh-CN"/>
        </w:rPr>
        <w:tab/>
      </w:r>
      <w:r w:rsidR="00CF475D">
        <w:rPr>
          <w:rFonts w:ascii="Verdana" w:hAnsi="Verdana"/>
          <w:sz w:val="16"/>
          <w:szCs w:val="16"/>
          <w:lang w:eastAsia="zh-CN"/>
        </w:rPr>
        <w:tab/>
      </w:r>
      <w:r w:rsidR="00CF475D">
        <w:rPr>
          <w:rFonts w:ascii="Verdana" w:hAnsi="Verdana"/>
          <w:sz w:val="16"/>
          <w:szCs w:val="16"/>
          <w:lang w:eastAsia="zh-CN"/>
        </w:rPr>
        <w:tab/>
      </w:r>
    </w:p>
    <w:p w:rsidR="00CF475D" w:rsidRPr="00CF475D" w:rsidRDefault="00CF475D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CF475D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sz w:val="16"/>
          <w:szCs w:val="16"/>
          <w:lang w:val="de-CH"/>
        </w:rPr>
      </w:pPr>
      <w:r w:rsidRPr="00CF475D">
        <w:rPr>
          <w:rFonts w:ascii="Verdana" w:hAnsi="Verdana"/>
          <w:sz w:val="16"/>
          <w:szCs w:val="16"/>
          <w:lang w:val="de-CH"/>
        </w:rPr>
        <w:t>P315</w:t>
      </w:r>
      <w:r w:rsidRPr="00CF475D">
        <w:rPr>
          <w:rFonts w:ascii="Verdana" w:hAnsi="Verdana"/>
          <w:sz w:val="16"/>
          <w:szCs w:val="16"/>
          <w:lang w:val="de-CH"/>
        </w:rPr>
        <w:tab/>
        <w:t>Sofort ärztlichen Rat einholen / ärztliche Hilfe hinzuziehen.</w:t>
      </w: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i/>
          <w:sz w:val="16"/>
          <w:szCs w:val="16"/>
          <w:lang w:val="de-CH"/>
        </w:rPr>
      </w:pPr>
      <w:r w:rsidRPr="00CF475D">
        <w:rPr>
          <w:rFonts w:ascii="Verdana" w:hAnsi="Verdana"/>
          <w:i/>
          <w:sz w:val="16"/>
          <w:szCs w:val="16"/>
          <w:lang w:val="de-CH"/>
        </w:rPr>
        <w:t>P403</w:t>
      </w:r>
      <w:r w:rsidRPr="00CF475D">
        <w:rPr>
          <w:rFonts w:ascii="Verdana" w:hAnsi="Verdana"/>
          <w:i/>
          <w:sz w:val="16"/>
          <w:szCs w:val="16"/>
          <w:lang w:val="de-CH"/>
        </w:rPr>
        <w:tab/>
        <w:t>An einem gut belüfteten Ort aufbewahren.</w:t>
      </w:r>
    </w:p>
    <w:p w:rsidR="00285A6E" w:rsidRPr="00CF475D" w:rsidRDefault="00285A6E" w:rsidP="00CF475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127"/>
        </w:tabs>
        <w:rPr>
          <w:rFonts w:ascii="Verdana" w:hAnsi="Verdana"/>
          <w:i/>
          <w:sz w:val="16"/>
          <w:szCs w:val="16"/>
          <w:lang w:val="de-CH"/>
        </w:rPr>
      </w:pPr>
      <w:r w:rsidRPr="00CF475D">
        <w:rPr>
          <w:rFonts w:ascii="Verdana" w:hAnsi="Verdana"/>
          <w:i/>
          <w:sz w:val="16"/>
          <w:szCs w:val="16"/>
          <w:lang w:val="de-CH"/>
        </w:rPr>
        <w:t>P405</w:t>
      </w:r>
      <w:r w:rsidRPr="00CF475D">
        <w:rPr>
          <w:rFonts w:ascii="Verdana" w:hAnsi="Verdana"/>
          <w:i/>
          <w:sz w:val="16"/>
          <w:szCs w:val="16"/>
          <w:lang w:val="de-CH"/>
        </w:rPr>
        <w:tab/>
        <w:t>Unter Verschluss aufbewahren.</w:t>
      </w:r>
    </w:p>
    <w:p w:rsidR="00833812" w:rsidRPr="00833812" w:rsidRDefault="00833812">
      <w:pPr>
        <w:rPr>
          <w:rFonts w:ascii="Verdana" w:hAnsi="Verdana"/>
          <w:b/>
        </w:rPr>
      </w:pPr>
    </w:p>
    <w:p w:rsidR="00EA6F0B" w:rsidRDefault="00EA6F0B">
      <w:pPr>
        <w:rPr>
          <w:rFonts w:ascii="Verdana" w:hAnsi="Verdana"/>
        </w:rPr>
      </w:pPr>
    </w:p>
    <w:p w:rsidR="00EA6F0B" w:rsidRDefault="00EA6F0B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285A6E" w:rsidRDefault="00285A6E">
      <w:pPr>
        <w:rPr>
          <w:rFonts w:ascii="Arial" w:hAnsi="Arial"/>
          <w:sz w:val="24"/>
        </w:rPr>
      </w:pPr>
    </w:p>
    <w:p w:rsidR="00285A6E" w:rsidRDefault="00285A6E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</w:p>
    <w:p w:rsidR="00285A6E" w:rsidRDefault="00285A6E">
      <w:pPr>
        <w:rPr>
          <w:rFonts w:ascii="Verdana" w:hAnsi="Verdana"/>
        </w:rPr>
      </w:pPr>
      <w:bookmarkStart w:id="0" w:name="_GoBack"/>
      <w:bookmarkEnd w:id="0"/>
    </w:p>
    <w:p w:rsidR="00382839" w:rsidRDefault="00285A6E" w:rsidP="00285A6E">
      <w:pPr>
        <w:jc w:val="both"/>
        <w:rPr>
          <w:rFonts w:ascii="Verdana" w:hAnsi="Verdana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  <w:r w:rsidR="00CF475D">
        <w:rPr>
          <w:rFonts w:ascii="Verdana" w:hAnsi="Verdana"/>
        </w:rPr>
        <w:tab/>
      </w:r>
    </w:p>
    <w:p w:rsidR="00CF475D" w:rsidRPr="00285A6E" w:rsidRDefault="00CF475D" w:rsidP="00285A6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__________________________________________________________________________________</w:t>
      </w:r>
    </w:p>
    <w:sectPr w:rsidR="00CF475D" w:rsidRPr="00285A6E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7F" w:rsidRDefault="000E107F" w:rsidP="00015609">
      <w:r>
        <w:separator/>
      </w:r>
    </w:p>
  </w:endnote>
  <w:endnote w:type="continuationSeparator" w:id="0">
    <w:p w:rsidR="000E107F" w:rsidRDefault="000E107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7F" w:rsidRDefault="000E107F" w:rsidP="00015609">
      <w:r>
        <w:separator/>
      </w:r>
    </w:p>
  </w:footnote>
  <w:footnote w:type="continuationSeparator" w:id="0">
    <w:p w:rsidR="000E107F" w:rsidRDefault="000E107F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02777" w:rsidP="00015609">
    <w:pPr>
      <w:pStyle w:val="Kopfzeile"/>
      <w:tabs>
        <w:tab w:val="clear" w:pos="4536"/>
        <w:tab w:val="clear" w:pos="9072"/>
        <w:tab w:val="left" w:pos="8445"/>
      </w:tabs>
    </w:pPr>
    <w:r w:rsidRPr="0020277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0277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0277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0E107F"/>
    <w:rsid w:val="001005CA"/>
    <w:rsid w:val="00112DC4"/>
    <w:rsid w:val="00142B91"/>
    <w:rsid w:val="001653C7"/>
    <w:rsid w:val="00170773"/>
    <w:rsid w:val="00173ECE"/>
    <w:rsid w:val="001A6020"/>
    <w:rsid w:val="001C32D5"/>
    <w:rsid w:val="001E2122"/>
    <w:rsid w:val="001E53A7"/>
    <w:rsid w:val="001F21CF"/>
    <w:rsid w:val="001F4D4A"/>
    <w:rsid w:val="00202777"/>
    <w:rsid w:val="00221ED2"/>
    <w:rsid w:val="0024642C"/>
    <w:rsid w:val="002673B5"/>
    <w:rsid w:val="00285A6E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174CC"/>
    <w:rsid w:val="004420D1"/>
    <w:rsid w:val="00443BF4"/>
    <w:rsid w:val="004514FE"/>
    <w:rsid w:val="00456B7F"/>
    <w:rsid w:val="0046211C"/>
    <w:rsid w:val="00467D3E"/>
    <w:rsid w:val="004A0699"/>
    <w:rsid w:val="004A0F03"/>
    <w:rsid w:val="004B4FF4"/>
    <w:rsid w:val="004B753C"/>
    <w:rsid w:val="00523D26"/>
    <w:rsid w:val="00545880"/>
    <w:rsid w:val="005643F9"/>
    <w:rsid w:val="00577C7D"/>
    <w:rsid w:val="005A207F"/>
    <w:rsid w:val="005A4729"/>
    <w:rsid w:val="005E2480"/>
    <w:rsid w:val="00612A9A"/>
    <w:rsid w:val="00624D80"/>
    <w:rsid w:val="006263D1"/>
    <w:rsid w:val="00650311"/>
    <w:rsid w:val="00655BBC"/>
    <w:rsid w:val="006E514C"/>
    <w:rsid w:val="006F371F"/>
    <w:rsid w:val="006F5584"/>
    <w:rsid w:val="0070507A"/>
    <w:rsid w:val="0071582C"/>
    <w:rsid w:val="00723AE0"/>
    <w:rsid w:val="007423E0"/>
    <w:rsid w:val="00751ABE"/>
    <w:rsid w:val="00765C0E"/>
    <w:rsid w:val="007665E2"/>
    <w:rsid w:val="0078017E"/>
    <w:rsid w:val="007859D3"/>
    <w:rsid w:val="00795230"/>
    <w:rsid w:val="007D2515"/>
    <w:rsid w:val="007D295C"/>
    <w:rsid w:val="0080352E"/>
    <w:rsid w:val="00806A16"/>
    <w:rsid w:val="00816966"/>
    <w:rsid w:val="00833812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2EBD"/>
    <w:rsid w:val="00993BD6"/>
    <w:rsid w:val="009B4CC7"/>
    <w:rsid w:val="009C7CC5"/>
    <w:rsid w:val="009D57AA"/>
    <w:rsid w:val="009D6827"/>
    <w:rsid w:val="009F52EC"/>
    <w:rsid w:val="00A1526C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E4E6E"/>
    <w:rsid w:val="00B03BAF"/>
    <w:rsid w:val="00B61890"/>
    <w:rsid w:val="00B65545"/>
    <w:rsid w:val="00B83007"/>
    <w:rsid w:val="00C037DB"/>
    <w:rsid w:val="00C74BFA"/>
    <w:rsid w:val="00C93395"/>
    <w:rsid w:val="00CB37B4"/>
    <w:rsid w:val="00CC5350"/>
    <w:rsid w:val="00CF475D"/>
    <w:rsid w:val="00D20C5C"/>
    <w:rsid w:val="00D235EF"/>
    <w:rsid w:val="00D27A61"/>
    <w:rsid w:val="00D43EE2"/>
    <w:rsid w:val="00D566D8"/>
    <w:rsid w:val="00D65C9C"/>
    <w:rsid w:val="00DA0844"/>
    <w:rsid w:val="00DC32FF"/>
    <w:rsid w:val="00DD3B60"/>
    <w:rsid w:val="00DE1022"/>
    <w:rsid w:val="00DE7AF4"/>
    <w:rsid w:val="00E036A9"/>
    <w:rsid w:val="00E22334"/>
    <w:rsid w:val="00E23B7A"/>
    <w:rsid w:val="00E541C2"/>
    <w:rsid w:val="00E73C07"/>
    <w:rsid w:val="00EA5663"/>
    <w:rsid w:val="00EA6F0B"/>
    <w:rsid w:val="00EA79C0"/>
    <w:rsid w:val="00EC11B3"/>
    <w:rsid w:val="00F068ED"/>
    <w:rsid w:val="00F122A5"/>
    <w:rsid w:val="00F30D44"/>
    <w:rsid w:val="00F81050"/>
    <w:rsid w:val="00FC6CFE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170773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0773"/>
    <w:rPr>
      <w:i/>
      <w:iCs/>
      <w:sz w:val="24"/>
      <w:szCs w:val="24"/>
      <w:lang w:val="de-DE" w:eastAsia="de-DE"/>
    </w:rPr>
  </w:style>
  <w:style w:type="table" w:customStyle="1" w:styleId="Calendar1">
    <w:name w:val="Calendar 1"/>
    <w:basedOn w:val="NormaleTabelle"/>
    <w:uiPriority w:val="99"/>
    <w:qFormat/>
    <w:rsid w:val="00833812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48DC-54D0-4A4A-8D9A-CA805223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10</cp:revision>
  <cp:lastPrinted>2013-12-03T11:51:00Z</cp:lastPrinted>
  <dcterms:created xsi:type="dcterms:W3CDTF">2015-04-18T09:30:00Z</dcterms:created>
  <dcterms:modified xsi:type="dcterms:W3CDTF">2015-05-20T13:55:00Z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