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040604" w:rsidP="00040604">
      <w:pPr>
        <w:jc w:val="center"/>
        <w:outlineLvl w:val="0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18099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B1626F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 w:rsidP="00040604">
      <w:pPr>
        <w:outlineLvl w:val="0"/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ab/>
        <w:t>7.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FE74D9">
        <w:rPr>
          <w:rFonts w:ascii="Verdana" w:hAnsi="Verdana"/>
          <w:b/>
        </w:rPr>
        <w:t>Das Feuer (2.1</w:t>
      </w:r>
      <w:r w:rsidR="009D20BC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 xml:space="preserve">Lehrbuch der phänomenologischen Chemie, Band 1, Seite </w:t>
      </w:r>
      <w:r w:rsidR="009D20BC">
        <w:rPr>
          <w:rFonts w:ascii="Verdana" w:hAnsi="Verdana"/>
          <w:b/>
        </w:rPr>
        <w:t>14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B1626F">
      <w:pPr>
        <w:rPr>
          <w:rFonts w:ascii="Arial" w:hAnsi="Arial"/>
          <w:sz w:val="24"/>
        </w:rPr>
      </w:pPr>
      <w:r w:rsidRPr="00B1626F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40.2pt;margin-top:10.2pt;width:23.85pt;height:23.05pt;z-index:251661312" o:allowincell="f">
            <v:textbox style="mso-next-textbox:#_x0000_s1078">
              <w:txbxContent>
                <w:p w:rsidR="004A0699" w:rsidRPr="0078017E" w:rsidRDefault="004A0699" w:rsidP="0078017E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B1626F">
        <w:rPr>
          <w:rFonts w:ascii="Arial" w:hAnsi="Arial"/>
          <w:b/>
          <w:noProof/>
          <w:lang w:val="de-CH"/>
        </w:rPr>
        <w:pict>
          <v:shape id="_x0000_s1077" type="#_x0000_t202" style="position:absolute;margin-left:257.25pt;margin-top:10.2pt;width:23.85pt;height:23.05pt;z-index:251660288" o:allowincell="f">
            <v:textbox style="mso-next-textbox:#_x0000_s1077">
              <w:txbxContent>
                <w:p w:rsidR="004A0699" w:rsidRPr="009D20BC" w:rsidRDefault="009D20BC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B1626F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9D20BC" w:rsidRDefault="009D20BC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1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 w:rsidP="00040604">
      <w:pPr>
        <w:outlineLvl w:val="0"/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1384"/>
        <w:gridCol w:w="1418"/>
        <w:gridCol w:w="1701"/>
        <w:gridCol w:w="1842"/>
        <w:gridCol w:w="851"/>
        <w:gridCol w:w="1843"/>
        <w:gridCol w:w="1643"/>
      </w:tblGrid>
      <w:tr w:rsidR="00D26897" w:rsidTr="00FE74D9">
        <w:trPr>
          <w:cnfStyle w:val="100000000000"/>
          <w:trHeight w:val="397"/>
        </w:trPr>
        <w:tc>
          <w:tcPr>
            <w:cnfStyle w:val="001000000000"/>
            <w:tcW w:w="1384" w:type="dxa"/>
          </w:tcPr>
          <w:p w:rsidR="00D26897" w:rsidRDefault="00D26897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418" w:type="dxa"/>
          </w:tcPr>
          <w:p w:rsidR="00D26897" w:rsidRPr="00FE74D9" w:rsidRDefault="00D26897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701" w:type="dxa"/>
          </w:tcPr>
          <w:p w:rsidR="00D26897" w:rsidRDefault="00D26897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842" w:type="dxa"/>
          </w:tcPr>
          <w:p w:rsidR="00D26897" w:rsidRDefault="00D26897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851" w:type="dxa"/>
          </w:tcPr>
          <w:p w:rsidR="00D26897" w:rsidRDefault="00D26897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1E5D29">
              <w:rPr>
                <w:rFonts w:ascii="Verdana" w:hAnsi="Verdana"/>
                <w:sz w:val="16"/>
                <w:szCs w:val="16"/>
              </w:rPr>
              <w:t>-</w:t>
            </w:r>
          </w:p>
          <w:p w:rsidR="00D26897" w:rsidRPr="00170773" w:rsidRDefault="00D26897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843" w:type="dxa"/>
          </w:tcPr>
          <w:p w:rsidR="00D26897" w:rsidRDefault="00D26897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643" w:type="dxa"/>
          </w:tcPr>
          <w:p w:rsidR="00D26897" w:rsidRDefault="00D26897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AGW in 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DC32FF" w:rsidRPr="009D20BC" w:rsidTr="00FE74D9">
        <w:trPr>
          <w:cnfStyle w:val="000000100000"/>
          <w:trHeight w:val="454"/>
        </w:trPr>
        <w:tc>
          <w:tcPr>
            <w:cnfStyle w:val="001000000000"/>
            <w:tcW w:w="1384" w:type="dxa"/>
          </w:tcPr>
          <w:p w:rsidR="00DC32FF" w:rsidRPr="00A41665" w:rsidRDefault="009D20BC">
            <w:pPr>
              <w:rPr>
                <w:rFonts w:ascii="Verdana" w:hAnsi="Verdana"/>
                <w:b w:val="0"/>
              </w:rPr>
            </w:pPr>
            <w:r w:rsidRPr="00A41665">
              <w:rPr>
                <w:rFonts w:ascii="Verdana" w:hAnsi="Verdana"/>
                <w:b w:val="0"/>
              </w:rPr>
              <w:t>keine</w:t>
            </w:r>
          </w:p>
        </w:tc>
        <w:tc>
          <w:tcPr>
            <w:tcW w:w="1418" w:type="dxa"/>
          </w:tcPr>
          <w:p w:rsidR="00DC32FF" w:rsidRPr="009D20BC" w:rsidRDefault="00DC32FF">
            <w:pPr>
              <w:cnfStyle w:val="00000010000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C32FF" w:rsidRPr="009D20BC" w:rsidRDefault="00DC32FF">
            <w:pPr>
              <w:cnfStyle w:val="00000010000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DC32FF" w:rsidRPr="009D20BC" w:rsidRDefault="00DC32FF">
            <w:pPr>
              <w:cnfStyle w:val="00000010000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C32FF" w:rsidRPr="009D20BC" w:rsidRDefault="00DC32FF">
            <w:pPr>
              <w:cnfStyle w:val="00000010000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DC32FF" w:rsidRPr="009D20BC" w:rsidRDefault="00DC32FF">
            <w:pPr>
              <w:cnfStyle w:val="00000010000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43" w:type="dxa"/>
          </w:tcPr>
          <w:p w:rsidR="00DC32FF" w:rsidRPr="009D20BC" w:rsidRDefault="00DC32FF">
            <w:pPr>
              <w:cnfStyle w:val="00000010000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 w:rsidP="00040604">
      <w:pPr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FE74D9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9D20BC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Buchenholz</w:t>
            </w:r>
          </w:p>
        </w:tc>
      </w:tr>
      <w:tr w:rsidR="008C7699" w:rsidTr="00FE74D9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8C7699" w:rsidRDefault="009D20BC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Holzwolle oder Anzündwürfel (Holzwolle, getränkt mit Paraffin)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 w:rsidP="00040604">
      <w:pPr>
        <w:outlineLvl w:val="0"/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9D20BC" w:rsidRPr="00756941" w:rsidRDefault="009D20BC" w:rsidP="00FE74D9">
      <w:pPr>
        <w:pStyle w:val="Textkrper2"/>
        <w:spacing w:line="240" w:lineRule="auto"/>
        <w:rPr>
          <w:rFonts w:ascii="Verdana" w:hAnsi="Verdana"/>
          <w:sz w:val="20"/>
          <w:szCs w:val="20"/>
        </w:rPr>
      </w:pPr>
      <w:r w:rsidRPr="00756941">
        <w:rPr>
          <w:rFonts w:ascii="Verdana" w:hAnsi="Verdana"/>
          <w:sz w:val="20"/>
          <w:szCs w:val="20"/>
        </w:rPr>
        <w:t>Vorbereitung: Buchenholzstücke werden zu einem kleinen Scheiterhaufen auf einer feuerfesten Platte (Schamott</w:t>
      </w:r>
      <w:r>
        <w:rPr>
          <w:rFonts w:ascii="Verdana" w:hAnsi="Verdana"/>
          <w:sz w:val="20"/>
          <w:szCs w:val="20"/>
        </w:rPr>
        <w:t>e</w:t>
      </w:r>
      <w:r w:rsidRPr="00756941">
        <w:rPr>
          <w:rFonts w:ascii="Verdana" w:hAnsi="Verdana"/>
          <w:sz w:val="20"/>
          <w:szCs w:val="20"/>
        </w:rPr>
        <w:t>), die auf feuerfesten Steinen steht, aufgeschichtet; in der Mitte befindet sich etwas Holzwolle, darüber erst feinere, dann die gröberen Späne.</w:t>
      </w:r>
      <w:r>
        <w:rPr>
          <w:rFonts w:ascii="Verdana" w:hAnsi="Verdana"/>
          <w:sz w:val="20"/>
          <w:szCs w:val="20"/>
        </w:rPr>
        <w:t xml:space="preserve"> Dieser Versuch muss</w:t>
      </w:r>
      <w:r w:rsidRPr="00756941">
        <w:rPr>
          <w:rFonts w:ascii="Verdana" w:hAnsi="Verdana"/>
          <w:sz w:val="20"/>
          <w:szCs w:val="20"/>
        </w:rPr>
        <w:t xml:space="preserve"> entweder unter einem gut ziehenden Abzug (z.B. Dampfabzug über dem Experimentiertisch)</w:t>
      </w:r>
      <w:r>
        <w:rPr>
          <w:rFonts w:ascii="Verdana" w:hAnsi="Verdana"/>
          <w:sz w:val="20"/>
          <w:szCs w:val="20"/>
        </w:rPr>
        <w:t xml:space="preserve">, in einer Feuerstelle (Esse) </w:t>
      </w:r>
      <w:r w:rsidRPr="00756941">
        <w:rPr>
          <w:rFonts w:ascii="Verdana" w:hAnsi="Verdana"/>
          <w:sz w:val="20"/>
          <w:szCs w:val="20"/>
        </w:rPr>
        <w:t xml:space="preserve"> oder im Freien durchgeführt werden. </w:t>
      </w:r>
    </w:p>
    <w:p w:rsidR="009D20BC" w:rsidRPr="00756941" w:rsidRDefault="009D20BC" w:rsidP="00FE74D9">
      <w:pPr>
        <w:jc w:val="both"/>
        <w:rPr>
          <w:rFonts w:ascii="Verdana" w:hAnsi="Verdana"/>
          <w:i/>
          <w:iCs/>
        </w:rPr>
      </w:pPr>
      <w:r w:rsidRPr="00756941">
        <w:rPr>
          <w:rFonts w:ascii="Verdana" w:hAnsi="Verdana"/>
          <w:i/>
          <w:iCs/>
        </w:rPr>
        <w:t>Man kann das Feuer auch von oben her abbrennen lassen. Dazu schichtet man zuerst die gröberen Holzspäne au</w:t>
      </w:r>
      <w:r>
        <w:rPr>
          <w:rFonts w:ascii="Verdana" w:hAnsi="Verdana"/>
          <w:i/>
          <w:iCs/>
        </w:rPr>
        <w:t>f, dann die feineren und schließ</w:t>
      </w:r>
      <w:r w:rsidRPr="00756941">
        <w:rPr>
          <w:rFonts w:ascii="Verdana" w:hAnsi="Verdana"/>
          <w:i/>
          <w:iCs/>
        </w:rPr>
        <w:t>lich gibt man auf den so aufgeschichtete</w:t>
      </w:r>
      <w:r>
        <w:rPr>
          <w:rFonts w:ascii="Verdana" w:hAnsi="Verdana"/>
          <w:i/>
          <w:iCs/>
        </w:rPr>
        <w:t>n Holzstoß</w:t>
      </w:r>
      <w:r w:rsidRPr="00756941">
        <w:rPr>
          <w:rFonts w:ascii="Verdana" w:hAnsi="Verdana"/>
          <w:i/>
          <w:iCs/>
        </w:rPr>
        <w:t xml:space="preserve"> die Holzwolle (evt</w:t>
      </w:r>
      <w:r>
        <w:rPr>
          <w:rFonts w:ascii="Verdana" w:hAnsi="Verdana"/>
          <w:i/>
          <w:iCs/>
        </w:rPr>
        <w:t>l</w:t>
      </w:r>
      <w:r w:rsidRPr="00756941">
        <w:rPr>
          <w:rFonts w:ascii="Verdana" w:hAnsi="Verdana"/>
          <w:i/>
          <w:iCs/>
        </w:rPr>
        <w:t>. auch mit Paraffin getränkt; käuflich als Anzündhilfe). Der Vorteil dieses Abbrennens ist, dass deutlich weniger Rauch gebildet wird.</w:t>
      </w:r>
    </w:p>
    <w:p w:rsidR="00624D80" w:rsidRPr="00A33993" w:rsidRDefault="00624D80" w:rsidP="00FE74D9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p w:rsidR="008C7699" w:rsidRDefault="008C7699">
      <w:pPr>
        <w:rPr>
          <w:rFonts w:ascii="Arial" w:hAnsi="Arial"/>
        </w:rPr>
      </w:pPr>
    </w:p>
    <w:p w:rsidR="00624D80" w:rsidRPr="008C7699" w:rsidRDefault="008C7699" w:rsidP="00040604">
      <w:pPr>
        <w:outlineLvl w:val="0"/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9D20BC" w:rsidRDefault="009D20BC" w:rsidP="009D20BC">
      <w:pPr>
        <w:spacing w:line="360" w:lineRule="auto"/>
        <w:jc w:val="both"/>
        <w:rPr>
          <w:rFonts w:ascii="Verdana" w:hAnsi="Verdana"/>
          <w:b/>
          <w:i/>
          <w:iCs/>
        </w:rPr>
      </w:pPr>
    </w:p>
    <w:p w:rsidR="009D20BC" w:rsidRDefault="009D20BC" w:rsidP="00FE74D9">
      <w:pPr>
        <w:jc w:val="both"/>
        <w:rPr>
          <w:rFonts w:ascii="Verdana" w:hAnsi="Verdana"/>
          <w:i/>
          <w:iCs/>
        </w:rPr>
      </w:pPr>
      <w:r w:rsidRPr="00756941">
        <w:rPr>
          <w:rFonts w:ascii="Verdana" w:hAnsi="Verdana"/>
          <w:b/>
          <w:i/>
          <w:iCs/>
        </w:rPr>
        <w:t>Achtung</w:t>
      </w:r>
      <w:r w:rsidRPr="00756941">
        <w:rPr>
          <w:rFonts w:ascii="Verdana" w:hAnsi="Verdana"/>
          <w:i/>
          <w:iCs/>
        </w:rPr>
        <w:t xml:space="preserve">: der </w:t>
      </w:r>
      <w:r>
        <w:rPr>
          <w:rFonts w:ascii="Verdana" w:hAnsi="Verdana"/>
          <w:i/>
          <w:iCs/>
        </w:rPr>
        <w:t>Holzrauch enthält – besonders während</w:t>
      </w:r>
      <w:r w:rsidRPr="00756941">
        <w:rPr>
          <w:rFonts w:ascii="Verdana" w:hAnsi="Verdana"/>
          <w:i/>
          <w:iCs/>
        </w:rPr>
        <w:t xml:space="preserve"> der Anheizzeit – giftige Substanzen</w:t>
      </w:r>
      <w:r>
        <w:rPr>
          <w:rFonts w:ascii="Verdana" w:hAnsi="Verdana"/>
          <w:i/>
          <w:iCs/>
        </w:rPr>
        <w:t xml:space="preserve"> (Kohlenmonoxid, Feinstaub, PAK [polycyclische aromatische Kohlenwasserstoffe])</w:t>
      </w:r>
      <w:r w:rsidRPr="00756941">
        <w:rPr>
          <w:rFonts w:ascii="Verdana" w:hAnsi="Verdana"/>
          <w:i/>
          <w:iCs/>
        </w:rPr>
        <w:t xml:space="preserve">, er ist nicht unbedenklich einzuatmen. </w:t>
      </w:r>
    </w:p>
    <w:p w:rsidR="008C7699" w:rsidRDefault="008C7699" w:rsidP="00FE74D9">
      <w:pPr>
        <w:rPr>
          <w:rFonts w:ascii="Verdana" w:hAnsi="Verdana"/>
          <w:b/>
        </w:rPr>
      </w:pPr>
    </w:p>
    <w:p w:rsidR="008C7699" w:rsidRDefault="008C7699" w:rsidP="008C7699">
      <w:pPr>
        <w:rPr>
          <w:rFonts w:ascii="Verdana" w:hAnsi="Verdana"/>
          <w:b/>
        </w:rPr>
      </w:pPr>
    </w:p>
    <w:p w:rsidR="008C7699" w:rsidRPr="00094BA1" w:rsidRDefault="008C7699" w:rsidP="00040604">
      <w:pPr>
        <w:outlineLvl w:val="0"/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Pr="00A33993" w:rsidRDefault="00624D80">
      <w:pPr>
        <w:rPr>
          <w:rFonts w:ascii="Arial" w:hAnsi="Arial"/>
        </w:rPr>
      </w:pPr>
    </w:p>
    <w:p w:rsidR="00015609" w:rsidRPr="009D20BC" w:rsidRDefault="009D20BC" w:rsidP="00040604">
      <w:pPr>
        <w:outlineLvl w:val="0"/>
        <w:rPr>
          <w:rFonts w:ascii="Verdana" w:hAnsi="Verdana"/>
          <w:i/>
        </w:rPr>
      </w:pPr>
      <w:r w:rsidRPr="009D20BC">
        <w:rPr>
          <w:rFonts w:ascii="Verdana" w:hAnsi="Verdana"/>
          <w:i/>
        </w:rPr>
        <w:t>Reste über den Hausmüll entsorgen</w:t>
      </w:r>
    </w:p>
    <w:p w:rsidR="009D20BC" w:rsidRDefault="009D20BC">
      <w:pPr>
        <w:rPr>
          <w:rFonts w:ascii="Verdana" w:hAnsi="Verdana"/>
          <w:b/>
        </w:rPr>
      </w:pPr>
    </w:p>
    <w:p w:rsidR="00624D80" w:rsidRPr="00094BA1" w:rsidRDefault="001653C7" w:rsidP="00040604">
      <w:pPr>
        <w:outlineLvl w:val="0"/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FE74D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FE74D9" w:rsidRPr="00382839" w:rsidRDefault="00FE74D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FE74D9" w:rsidRPr="00382839" w:rsidRDefault="00FE74D9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FE74D9" w:rsidRPr="00382839" w:rsidRDefault="00FE74D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FE74D9" w:rsidRPr="00382839" w:rsidRDefault="00FE74D9">
            <w:pPr>
              <w:cnfStyle w:val="000000100000"/>
              <w:rPr>
                <w:rFonts w:ascii="Verdana" w:hAnsi="Verdana"/>
              </w:rPr>
            </w:pPr>
          </w:p>
        </w:tc>
      </w:tr>
      <w:tr w:rsidR="00FE74D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FE74D9" w:rsidRPr="00382839" w:rsidRDefault="00FE74D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FE74D9" w:rsidRPr="00382839" w:rsidRDefault="00FE74D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FE74D9" w:rsidRPr="00382839" w:rsidRDefault="00FE74D9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FE74D9" w:rsidRPr="00382839" w:rsidRDefault="00FE74D9">
            <w:pPr>
              <w:cnfStyle w:val="000000010000"/>
              <w:rPr>
                <w:rFonts w:ascii="Verdana" w:hAnsi="Verdana"/>
              </w:rPr>
            </w:pPr>
          </w:p>
        </w:tc>
      </w:tr>
      <w:tr w:rsidR="00FE74D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FE74D9" w:rsidRPr="00382839" w:rsidRDefault="00FE74D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FE74D9" w:rsidRPr="00382839" w:rsidRDefault="00FE74D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FE74D9" w:rsidRPr="00382839" w:rsidRDefault="00FE74D9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FE74D9" w:rsidRPr="00382839" w:rsidRDefault="00FE74D9">
            <w:pPr>
              <w:cnfStyle w:val="000000100000"/>
              <w:rPr>
                <w:rFonts w:ascii="Verdana" w:hAnsi="Verdana"/>
              </w:rPr>
            </w:pPr>
          </w:p>
        </w:tc>
      </w:tr>
      <w:tr w:rsidR="00FE74D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FE74D9" w:rsidRPr="00382839" w:rsidRDefault="00FE74D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FE74D9" w:rsidRPr="00382839" w:rsidRDefault="00FE74D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FE74D9" w:rsidRPr="00382839" w:rsidRDefault="00FE74D9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FE74D9" w:rsidRPr="00382839" w:rsidRDefault="00FE74D9">
            <w:pPr>
              <w:cnfStyle w:val="000000010000"/>
              <w:rPr>
                <w:rFonts w:ascii="Verdana" w:hAnsi="Verdana"/>
              </w:rPr>
            </w:pPr>
          </w:p>
        </w:tc>
      </w:tr>
      <w:tr w:rsidR="00FE74D9" w:rsidRPr="00FE74D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FE74D9" w:rsidRPr="00FE74D9" w:rsidRDefault="002C0E6E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FE74D9">
              <w:rPr>
                <w:rFonts w:ascii="Verdana" w:hAnsi="Verdana"/>
                <w:b w:val="0"/>
                <w:sz w:val="18"/>
                <w:szCs w:val="18"/>
              </w:rPr>
              <w:t>Au</w:t>
            </w:r>
            <w:r w:rsidR="00FE74D9" w:rsidRPr="00FE74D9">
              <w:rPr>
                <w:rFonts w:ascii="Verdana" w:hAnsi="Verdana"/>
                <w:b w:val="0"/>
                <w:sz w:val="18"/>
                <w:szCs w:val="18"/>
              </w:rPr>
              <w:t>genkontakt</w:t>
            </w:r>
          </w:p>
        </w:tc>
        <w:tc>
          <w:tcPr>
            <w:tcW w:w="688" w:type="dxa"/>
          </w:tcPr>
          <w:p w:rsidR="00FE74D9" w:rsidRPr="00FE74D9" w:rsidRDefault="00FE74D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FE74D9" w:rsidRPr="00FE74D9" w:rsidRDefault="00FE74D9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FE74D9" w:rsidRPr="00FE74D9" w:rsidRDefault="00FE74D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 w:rsidP="00040604">
      <w:pPr>
        <w:outlineLvl w:val="0"/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9D20BC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504825</wp:posOffset>
            </wp:positionH>
            <wp:positionV relativeFrom="margin">
              <wp:posOffset>3044825</wp:posOffset>
            </wp:positionV>
            <wp:extent cx="400050" cy="400050"/>
            <wp:effectExtent l="19050" t="0" r="0" b="0"/>
            <wp:wrapNone/>
            <wp:docPr id="1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Pr="009D20BC" w:rsidRDefault="00FE74D9" w:rsidP="009D20BC">
      <w:pPr>
        <w:tabs>
          <w:tab w:val="left" w:pos="1035"/>
        </w:tabs>
        <w:rPr>
          <w:rFonts w:ascii="Verdana" w:hAnsi="Verdana"/>
          <w:i/>
        </w:rPr>
      </w:pPr>
      <w:r>
        <w:rPr>
          <w:rFonts w:ascii="Verdana" w:hAnsi="Verdana"/>
          <w:i/>
        </w:rPr>
        <w:t xml:space="preserve">Abzug                </w:t>
      </w:r>
      <w:r w:rsidR="009D20BC">
        <w:rPr>
          <w:rFonts w:ascii="Verdana" w:hAnsi="Verdana"/>
          <w:i/>
        </w:rPr>
        <w:t>oder Durchführung im Freien</w:t>
      </w:r>
      <w:r>
        <w:rPr>
          <w:rFonts w:ascii="Verdana" w:hAnsi="Verdana"/>
          <w:i/>
        </w:rPr>
        <w:t xml:space="preserve"> bzw. in einer dafür geeigneten Feuerstelle (Esse)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624D80" w:rsidRPr="00015609" w:rsidRDefault="00D65C9C" w:rsidP="00040604">
      <w:pPr>
        <w:outlineLvl w:val="0"/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624D80" w:rsidRPr="009D20BC" w:rsidRDefault="009D20BC" w:rsidP="00040604">
      <w:pPr>
        <w:outlineLvl w:val="0"/>
        <w:rPr>
          <w:rFonts w:ascii="Verdana" w:hAnsi="Verdana"/>
          <w:i/>
        </w:rPr>
      </w:pPr>
      <w:r w:rsidRPr="009D20BC">
        <w:rPr>
          <w:rFonts w:ascii="Verdana" w:hAnsi="Verdana"/>
          <w:i/>
        </w:rPr>
        <w:t>Keine</w:t>
      </w:r>
      <w:r w:rsidR="00180994">
        <w:rPr>
          <w:rFonts w:ascii="Verdana" w:hAnsi="Verdana"/>
          <w:i/>
        </w:rPr>
        <w:t xml:space="preserve"> notwendig; Alltagsmaterialien</w:t>
      </w:r>
    </w:p>
    <w:p w:rsidR="00015609" w:rsidRDefault="00015609">
      <w:pPr>
        <w:rPr>
          <w:rFonts w:ascii="Verdana" w:hAnsi="Verdana"/>
          <w:b/>
        </w:rPr>
      </w:pPr>
    </w:p>
    <w:p w:rsidR="00DC32FF" w:rsidRDefault="00DC32FF">
      <w:pPr>
        <w:rPr>
          <w:rFonts w:ascii="Verdana" w:hAnsi="Verdana"/>
          <w:b/>
        </w:rPr>
      </w:pPr>
    </w:p>
    <w:p w:rsidR="00FE74D9" w:rsidRDefault="00FE74D9">
      <w:pPr>
        <w:rPr>
          <w:rFonts w:ascii="Verdana" w:hAnsi="Verdana"/>
          <w:b/>
        </w:rPr>
      </w:pPr>
    </w:p>
    <w:p w:rsidR="00FE74D9" w:rsidRDefault="00FE74D9">
      <w:pPr>
        <w:rPr>
          <w:rFonts w:ascii="Verdana" w:hAnsi="Verdana"/>
          <w:b/>
        </w:rPr>
      </w:pPr>
    </w:p>
    <w:p w:rsidR="00FE74D9" w:rsidRDefault="00FE74D9">
      <w:pPr>
        <w:rPr>
          <w:rFonts w:ascii="Verdana" w:hAnsi="Verdana"/>
          <w:b/>
        </w:rPr>
      </w:pPr>
    </w:p>
    <w:p w:rsidR="00FE74D9" w:rsidRDefault="00FE74D9">
      <w:pPr>
        <w:rPr>
          <w:rFonts w:ascii="Verdana" w:hAnsi="Verdana"/>
          <w:b/>
        </w:rPr>
      </w:pPr>
    </w:p>
    <w:p w:rsidR="00FE74D9" w:rsidRDefault="00FE74D9">
      <w:pPr>
        <w:rPr>
          <w:rFonts w:ascii="Verdana" w:hAnsi="Verdana"/>
          <w:b/>
        </w:rPr>
      </w:pPr>
    </w:p>
    <w:p w:rsidR="00FE74D9" w:rsidRDefault="00FE74D9">
      <w:pPr>
        <w:rPr>
          <w:rFonts w:ascii="Verdana" w:hAnsi="Verdana"/>
          <w:b/>
        </w:rPr>
      </w:pPr>
    </w:p>
    <w:p w:rsidR="00FE74D9" w:rsidRDefault="00FE74D9">
      <w:pPr>
        <w:rPr>
          <w:rFonts w:ascii="Verdana" w:hAnsi="Verdana"/>
          <w:b/>
        </w:rPr>
      </w:pPr>
    </w:p>
    <w:p w:rsidR="00FE74D9" w:rsidRDefault="00FE74D9">
      <w:pPr>
        <w:rPr>
          <w:rFonts w:ascii="Verdana" w:hAnsi="Verdana"/>
          <w:b/>
        </w:rPr>
      </w:pPr>
    </w:p>
    <w:p w:rsidR="00FE74D9" w:rsidRDefault="00FE74D9">
      <w:pPr>
        <w:rPr>
          <w:rFonts w:ascii="Verdana" w:hAnsi="Verdana"/>
          <w:b/>
        </w:rPr>
      </w:pPr>
    </w:p>
    <w:p w:rsidR="00FE74D9" w:rsidRDefault="00FE74D9">
      <w:pPr>
        <w:rPr>
          <w:rFonts w:ascii="Verdana" w:hAnsi="Verdana"/>
          <w:b/>
        </w:rPr>
      </w:pPr>
    </w:p>
    <w:p w:rsidR="00624D80" w:rsidRPr="00094BA1" w:rsidRDefault="00624D80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82839" w:rsidRDefault="00382839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382839" w:rsidRDefault="00397845" w:rsidP="009D20BC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382839" w:rsidRPr="00DC32FF" w:rsidRDefault="00382839" w:rsidP="00040604">
      <w:pPr>
        <w:jc w:val="both"/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040604">
        <w:rPr>
          <w:rFonts w:ascii="Verdana" w:hAnsi="Verdana"/>
          <w:sz w:val="16"/>
          <w:szCs w:val="16"/>
        </w:rPr>
        <w:t xml:space="preserve"> / Atelierschule Zürich / Erstelldatum: 14.05.2015</w:t>
      </w:r>
    </w:p>
    <w:p w:rsidR="0024642C" w:rsidRPr="009D20BC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9D20BC" w:rsidSect="00015609">
      <w:headerReference w:type="default" r:id="rId8"/>
      <w:footerReference w:type="default" r:id="rId9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40E" w:rsidRDefault="001D640E" w:rsidP="00015609">
      <w:r>
        <w:separator/>
      </w:r>
    </w:p>
  </w:endnote>
  <w:endnote w:type="continuationSeparator" w:id="0">
    <w:p w:rsidR="001D640E" w:rsidRDefault="001D640E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40E" w:rsidRDefault="001D640E" w:rsidP="00015609">
      <w:r>
        <w:separator/>
      </w:r>
    </w:p>
  </w:footnote>
  <w:footnote w:type="continuationSeparator" w:id="0">
    <w:p w:rsidR="001D640E" w:rsidRDefault="001D640E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B1626F" w:rsidP="00015609">
    <w:pPr>
      <w:pStyle w:val="Kopfzeile"/>
      <w:tabs>
        <w:tab w:val="clear" w:pos="4536"/>
        <w:tab w:val="clear" w:pos="9072"/>
        <w:tab w:val="left" w:pos="8445"/>
      </w:tabs>
    </w:pPr>
    <w:r w:rsidRPr="00B1626F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B1626F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B1626F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698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0604"/>
    <w:rsid w:val="00051F72"/>
    <w:rsid w:val="00094BA1"/>
    <w:rsid w:val="000D37C8"/>
    <w:rsid w:val="001005CA"/>
    <w:rsid w:val="00112DC4"/>
    <w:rsid w:val="00142B91"/>
    <w:rsid w:val="00161C4E"/>
    <w:rsid w:val="001653C7"/>
    <w:rsid w:val="00173ECE"/>
    <w:rsid w:val="00180994"/>
    <w:rsid w:val="001A6020"/>
    <w:rsid w:val="001C32D5"/>
    <w:rsid w:val="001D640E"/>
    <w:rsid w:val="001E2122"/>
    <w:rsid w:val="001E53A7"/>
    <w:rsid w:val="001E5D29"/>
    <w:rsid w:val="00221ED2"/>
    <w:rsid w:val="0024642C"/>
    <w:rsid w:val="002479A5"/>
    <w:rsid w:val="002C0E6E"/>
    <w:rsid w:val="002C7EC4"/>
    <w:rsid w:val="002E3A90"/>
    <w:rsid w:val="002E3B1E"/>
    <w:rsid w:val="003372CF"/>
    <w:rsid w:val="00363754"/>
    <w:rsid w:val="00366065"/>
    <w:rsid w:val="00382839"/>
    <w:rsid w:val="00397845"/>
    <w:rsid w:val="003A3231"/>
    <w:rsid w:val="003A3BDB"/>
    <w:rsid w:val="003C6E9E"/>
    <w:rsid w:val="003D1449"/>
    <w:rsid w:val="003F060A"/>
    <w:rsid w:val="003F7F2E"/>
    <w:rsid w:val="00400DC9"/>
    <w:rsid w:val="0041466B"/>
    <w:rsid w:val="004420D1"/>
    <w:rsid w:val="00443BF4"/>
    <w:rsid w:val="004514FE"/>
    <w:rsid w:val="00456B7F"/>
    <w:rsid w:val="0046211C"/>
    <w:rsid w:val="00467D3E"/>
    <w:rsid w:val="004A0699"/>
    <w:rsid w:val="004B4FF4"/>
    <w:rsid w:val="00523D26"/>
    <w:rsid w:val="005643F9"/>
    <w:rsid w:val="005662F7"/>
    <w:rsid w:val="005A207F"/>
    <w:rsid w:val="005A458B"/>
    <w:rsid w:val="005A4729"/>
    <w:rsid w:val="005E2480"/>
    <w:rsid w:val="00624D80"/>
    <w:rsid w:val="006263D1"/>
    <w:rsid w:val="00655BBC"/>
    <w:rsid w:val="006E514C"/>
    <w:rsid w:val="006F371F"/>
    <w:rsid w:val="006F5584"/>
    <w:rsid w:val="0070507A"/>
    <w:rsid w:val="0071582C"/>
    <w:rsid w:val="007423E0"/>
    <w:rsid w:val="00751ABE"/>
    <w:rsid w:val="00765C0E"/>
    <w:rsid w:val="0078017E"/>
    <w:rsid w:val="007859D3"/>
    <w:rsid w:val="00795230"/>
    <w:rsid w:val="007D2515"/>
    <w:rsid w:val="007D295C"/>
    <w:rsid w:val="0080352E"/>
    <w:rsid w:val="00806A16"/>
    <w:rsid w:val="00816966"/>
    <w:rsid w:val="008343F4"/>
    <w:rsid w:val="0085786A"/>
    <w:rsid w:val="00875E4E"/>
    <w:rsid w:val="008830AE"/>
    <w:rsid w:val="008C4A27"/>
    <w:rsid w:val="008C7699"/>
    <w:rsid w:val="008D16D1"/>
    <w:rsid w:val="008F4F72"/>
    <w:rsid w:val="009029F0"/>
    <w:rsid w:val="00907BD8"/>
    <w:rsid w:val="009253B0"/>
    <w:rsid w:val="00931742"/>
    <w:rsid w:val="009550B8"/>
    <w:rsid w:val="00962356"/>
    <w:rsid w:val="00964841"/>
    <w:rsid w:val="0097293F"/>
    <w:rsid w:val="00993BD6"/>
    <w:rsid w:val="00997B5C"/>
    <w:rsid w:val="009B4CC7"/>
    <w:rsid w:val="009C7CC5"/>
    <w:rsid w:val="009D20BC"/>
    <w:rsid w:val="009D57AA"/>
    <w:rsid w:val="009D6827"/>
    <w:rsid w:val="009F52EC"/>
    <w:rsid w:val="00A1642E"/>
    <w:rsid w:val="00A33993"/>
    <w:rsid w:val="00A41665"/>
    <w:rsid w:val="00A505D4"/>
    <w:rsid w:val="00A54DED"/>
    <w:rsid w:val="00A6055C"/>
    <w:rsid w:val="00A70890"/>
    <w:rsid w:val="00A77634"/>
    <w:rsid w:val="00A8046D"/>
    <w:rsid w:val="00A91936"/>
    <w:rsid w:val="00AC37A7"/>
    <w:rsid w:val="00AE4E6E"/>
    <w:rsid w:val="00B03BAF"/>
    <w:rsid w:val="00B1626F"/>
    <w:rsid w:val="00B61890"/>
    <w:rsid w:val="00B65545"/>
    <w:rsid w:val="00B83007"/>
    <w:rsid w:val="00C037DB"/>
    <w:rsid w:val="00C93395"/>
    <w:rsid w:val="00CB37B4"/>
    <w:rsid w:val="00CC5350"/>
    <w:rsid w:val="00CD357D"/>
    <w:rsid w:val="00CE2ED3"/>
    <w:rsid w:val="00D1340E"/>
    <w:rsid w:val="00D20C5C"/>
    <w:rsid w:val="00D235EF"/>
    <w:rsid w:val="00D26897"/>
    <w:rsid w:val="00D27A61"/>
    <w:rsid w:val="00D566D8"/>
    <w:rsid w:val="00D65C9C"/>
    <w:rsid w:val="00D72174"/>
    <w:rsid w:val="00DA0844"/>
    <w:rsid w:val="00DC32FF"/>
    <w:rsid w:val="00DD3B60"/>
    <w:rsid w:val="00DE7AF4"/>
    <w:rsid w:val="00E036A9"/>
    <w:rsid w:val="00E22334"/>
    <w:rsid w:val="00E23B7A"/>
    <w:rsid w:val="00E541C2"/>
    <w:rsid w:val="00EC11B3"/>
    <w:rsid w:val="00ED4515"/>
    <w:rsid w:val="00F068ED"/>
    <w:rsid w:val="00F122A5"/>
    <w:rsid w:val="00F30D44"/>
    <w:rsid w:val="00FE74D9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Textkrper2">
    <w:name w:val="Body Text 2"/>
    <w:basedOn w:val="Standard"/>
    <w:link w:val="Textkrper2Zchn"/>
    <w:rsid w:val="009D20BC"/>
    <w:pPr>
      <w:spacing w:line="480" w:lineRule="auto"/>
      <w:jc w:val="both"/>
    </w:pPr>
    <w:rPr>
      <w:i/>
      <w:iCs/>
      <w:sz w:val="2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9D20BC"/>
    <w:rPr>
      <w:i/>
      <w:iCs/>
      <w:sz w:val="24"/>
      <w:szCs w:val="24"/>
      <w:lang w:val="de-DE"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4060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40604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5E47E-FC43-4763-89BB-1C1F8AA4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12</cp:revision>
  <cp:lastPrinted>2013-12-03T11:51:00Z</cp:lastPrinted>
  <dcterms:created xsi:type="dcterms:W3CDTF">2015-04-17T14:49:00Z</dcterms:created>
  <dcterms:modified xsi:type="dcterms:W3CDTF">2015-05-20T13:50:00Z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